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4B45" w:rsidRDefault="00E54B45" w:rsidP="00E54B45">
      <w:pPr>
        <w:pStyle w:val="Heading1"/>
        <w:keepNext w:val="0"/>
        <w:spacing w:before="120" w:after="120"/>
        <w:jc w:val="center"/>
        <w:rPr>
          <w:rFonts w:ascii="Book Antiqua" w:hAnsi="Book Antiqua"/>
          <w:b w:val="0"/>
          <w:sz w:val="40"/>
        </w:rPr>
      </w:pPr>
      <w:proofErr w:type="spellStart"/>
      <w:r>
        <w:rPr>
          <w:rFonts w:ascii="Book Antiqua" w:hAnsi="Book Antiqua"/>
          <w:b w:val="0"/>
          <w:sz w:val="40"/>
          <w:szCs w:val="36"/>
        </w:rPr>
        <w:t>Solodrex</w:t>
      </w:r>
      <w:proofErr w:type="spellEnd"/>
      <w:r>
        <w:rPr>
          <w:rStyle w:val="FootnoteReference"/>
          <w:rFonts w:ascii="Book Antiqua" w:hAnsi="Book Antiqua"/>
          <w:b w:val="0"/>
          <w:sz w:val="40"/>
          <w:szCs w:val="36"/>
        </w:rPr>
        <w:footnoteReference w:id="1"/>
      </w:r>
    </w:p>
    <w:p w:rsidR="00E54B45" w:rsidRDefault="00E54B45" w:rsidP="00E54B45">
      <w:pPr>
        <w:pStyle w:val="BodyTextIndent"/>
        <w:spacing w:before="40" w:after="40"/>
        <w:ind w:firstLine="0"/>
        <w:rPr>
          <w:rFonts w:ascii="Book Antiqua" w:hAnsi="Book Antiqua"/>
        </w:rPr>
      </w:pPr>
      <w:r>
        <w:rPr>
          <w:rFonts w:ascii="Book Antiqua" w:hAnsi="Book Antiqua"/>
        </w:rPr>
        <w:t xml:space="preserve">The </w:t>
      </w:r>
      <w:proofErr w:type="spellStart"/>
      <w:r>
        <w:rPr>
          <w:rFonts w:ascii="Book Antiqua" w:hAnsi="Book Antiqua"/>
        </w:rPr>
        <w:t>Solodrex</w:t>
      </w:r>
      <w:proofErr w:type="spellEnd"/>
      <w:r>
        <w:rPr>
          <w:rFonts w:ascii="Book Antiqua" w:hAnsi="Book Antiqua"/>
        </w:rPr>
        <w:t xml:space="preserve"> Investment Bank has $100 million available to invest in a portfolio of four corporate bonds. The expected and worst-case returns on each bond are given in the table below.</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firstRow="1" w:lastRow="0" w:firstColumn="1" w:lastColumn="0" w:noHBand="0" w:noVBand="0"/>
      </w:tblPr>
      <w:tblGrid>
        <w:gridCol w:w="1557"/>
        <w:gridCol w:w="1338"/>
        <w:gridCol w:w="1595"/>
        <w:gridCol w:w="1326"/>
      </w:tblGrid>
      <w:tr w:rsidR="00E54B45" w:rsidTr="006F5BEC">
        <w:trPr>
          <w:jc w:val="center"/>
        </w:trPr>
        <w:tc>
          <w:tcPr>
            <w:tcW w:w="1557" w:type="dxa"/>
            <w:tcBorders>
              <w:top w:val="nil"/>
              <w:left w:val="nil"/>
              <w:bottom w:val="nil"/>
            </w:tcBorders>
          </w:tcPr>
          <w:p w:rsidR="00E54B45" w:rsidRDefault="00E54B45" w:rsidP="006F5BEC">
            <w:pPr>
              <w:pStyle w:val="BodyTextIndent"/>
              <w:ind w:firstLine="0"/>
              <w:jc w:val="center"/>
              <w:rPr>
                <w:rFonts w:ascii="Book Antiqua" w:hAnsi="Book Antiqua"/>
              </w:rPr>
            </w:pPr>
          </w:p>
        </w:tc>
        <w:tc>
          <w:tcPr>
            <w:tcW w:w="1338" w:type="dxa"/>
            <w:tcBorders>
              <w:bottom w:val="nil"/>
            </w:tcBorders>
          </w:tcPr>
          <w:p w:rsidR="00E54B45" w:rsidRDefault="00E54B45" w:rsidP="006F5BEC">
            <w:pPr>
              <w:pStyle w:val="BodyTextIndent"/>
              <w:ind w:firstLine="0"/>
              <w:jc w:val="center"/>
              <w:rPr>
                <w:rFonts w:ascii="Book Antiqua" w:hAnsi="Book Antiqua"/>
              </w:rPr>
            </w:pPr>
            <w:r>
              <w:rPr>
                <w:rFonts w:ascii="Book Antiqua" w:hAnsi="Book Antiqua"/>
              </w:rPr>
              <w:t>Expected</w:t>
            </w:r>
          </w:p>
        </w:tc>
        <w:tc>
          <w:tcPr>
            <w:tcW w:w="1595" w:type="dxa"/>
            <w:tcBorders>
              <w:bottom w:val="nil"/>
            </w:tcBorders>
          </w:tcPr>
          <w:p w:rsidR="00E54B45" w:rsidRDefault="00E54B45" w:rsidP="006F5BEC">
            <w:pPr>
              <w:pStyle w:val="BodyTextIndent"/>
              <w:ind w:firstLine="0"/>
              <w:jc w:val="center"/>
              <w:rPr>
                <w:rFonts w:ascii="Book Antiqua" w:hAnsi="Book Antiqua"/>
              </w:rPr>
            </w:pPr>
            <w:r>
              <w:rPr>
                <w:rFonts w:ascii="Book Antiqua" w:hAnsi="Book Antiqua"/>
              </w:rPr>
              <w:t>Worst-Case</w:t>
            </w:r>
          </w:p>
        </w:tc>
        <w:tc>
          <w:tcPr>
            <w:tcW w:w="1326" w:type="dxa"/>
            <w:tcBorders>
              <w:bottom w:val="nil"/>
            </w:tcBorders>
          </w:tcPr>
          <w:p w:rsidR="00E54B45" w:rsidRDefault="00E54B45" w:rsidP="006F5BEC">
            <w:pPr>
              <w:pStyle w:val="BodyTextIndent"/>
              <w:ind w:firstLine="0"/>
              <w:jc w:val="center"/>
              <w:rPr>
                <w:rFonts w:ascii="Book Antiqua" w:hAnsi="Book Antiqua"/>
              </w:rPr>
            </w:pPr>
            <w:r>
              <w:rPr>
                <w:rFonts w:ascii="Book Antiqua" w:hAnsi="Book Antiqua"/>
              </w:rPr>
              <w:t>Duration</w:t>
            </w:r>
          </w:p>
        </w:tc>
      </w:tr>
      <w:tr w:rsidR="00E54B45" w:rsidTr="006F5BEC">
        <w:trPr>
          <w:jc w:val="center"/>
        </w:trPr>
        <w:tc>
          <w:tcPr>
            <w:tcW w:w="1557" w:type="dxa"/>
            <w:tcBorders>
              <w:top w:val="nil"/>
              <w:left w:val="nil"/>
            </w:tcBorders>
          </w:tcPr>
          <w:p w:rsidR="00E54B45" w:rsidRDefault="00E54B45" w:rsidP="006F5BEC">
            <w:pPr>
              <w:pStyle w:val="BodyTextIndent"/>
              <w:ind w:firstLine="0"/>
              <w:jc w:val="center"/>
              <w:rPr>
                <w:rFonts w:ascii="Book Antiqua" w:hAnsi="Book Antiqua"/>
              </w:rPr>
            </w:pPr>
          </w:p>
        </w:tc>
        <w:tc>
          <w:tcPr>
            <w:tcW w:w="1338" w:type="dxa"/>
            <w:tcBorders>
              <w:top w:val="nil"/>
            </w:tcBorders>
          </w:tcPr>
          <w:p w:rsidR="00E54B45" w:rsidRDefault="00E54B45" w:rsidP="006F5BEC">
            <w:pPr>
              <w:pStyle w:val="BodyTextIndent"/>
              <w:ind w:firstLine="0"/>
              <w:jc w:val="center"/>
              <w:rPr>
                <w:rFonts w:ascii="Book Antiqua" w:hAnsi="Book Antiqua"/>
              </w:rPr>
            </w:pPr>
            <w:r>
              <w:rPr>
                <w:rFonts w:ascii="Book Antiqua" w:hAnsi="Book Antiqua"/>
              </w:rPr>
              <w:t>Return</w:t>
            </w:r>
          </w:p>
        </w:tc>
        <w:tc>
          <w:tcPr>
            <w:tcW w:w="1595" w:type="dxa"/>
            <w:tcBorders>
              <w:top w:val="nil"/>
            </w:tcBorders>
          </w:tcPr>
          <w:p w:rsidR="00E54B45" w:rsidRDefault="00E54B45" w:rsidP="006F5BEC">
            <w:pPr>
              <w:pStyle w:val="BodyTextIndent"/>
              <w:ind w:firstLine="0"/>
              <w:jc w:val="center"/>
              <w:rPr>
                <w:rFonts w:ascii="Book Antiqua" w:hAnsi="Book Antiqua"/>
              </w:rPr>
            </w:pPr>
            <w:r>
              <w:rPr>
                <w:rFonts w:ascii="Book Antiqua" w:hAnsi="Book Antiqua"/>
              </w:rPr>
              <w:t>Return</w:t>
            </w:r>
          </w:p>
        </w:tc>
        <w:tc>
          <w:tcPr>
            <w:tcW w:w="1326" w:type="dxa"/>
            <w:tcBorders>
              <w:top w:val="nil"/>
            </w:tcBorders>
          </w:tcPr>
          <w:p w:rsidR="00E54B45" w:rsidRDefault="00E54B45" w:rsidP="006F5BEC">
            <w:pPr>
              <w:pStyle w:val="BodyTextIndent"/>
              <w:ind w:firstLine="0"/>
              <w:jc w:val="center"/>
              <w:rPr>
                <w:rFonts w:ascii="Book Antiqua" w:hAnsi="Book Antiqua"/>
              </w:rPr>
            </w:pPr>
            <w:r>
              <w:rPr>
                <w:rFonts w:ascii="Book Antiqua" w:hAnsi="Book Antiqua"/>
              </w:rPr>
              <w:t>(years)</w:t>
            </w:r>
          </w:p>
        </w:tc>
      </w:tr>
      <w:tr w:rsidR="00E54B45" w:rsidTr="006F5BEC">
        <w:trPr>
          <w:jc w:val="center"/>
        </w:trPr>
        <w:tc>
          <w:tcPr>
            <w:tcW w:w="1557" w:type="dxa"/>
          </w:tcPr>
          <w:p w:rsidR="00E54B45" w:rsidRDefault="00E54B45" w:rsidP="006F5BEC">
            <w:pPr>
              <w:pStyle w:val="BodyTextIndent"/>
              <w:ind w:firstLine="0"/>
              <w:jc w:val="center"/>
              <w:rPr>
                <w:rFonts w:ascii="Book Antiqua" w:hAnsi="Book Antiqua"/>
              </w:rPr>
            </w:pPr>
            <w:r>
              <w:rPr>
                <w:rFonts w:ascii="Book Antiqua" w:hAnsi="Book Antiqua"/>
              </w:rPr>
              <w:t>Enron</w:t>
            </w:r>
          </w:p>
        </w:tc>
        <w:tc>
          <w:tcPr>
            <w:tcW w:w="1338" w:type="dxa"/>
          </w:tcPr>
          <w:p w:rsidR="00E54B45" w:rsidRDefault="00E54B45" w:rsidP="006F5BEC">
            <w:pPr>
              <w:pStyle w:val="BodyTextIndent"/>
              <w:ind w:firstLine="0"/>
              <w:jc w:val="center"/>
              <w:rPr>
                <w:rFonts w:ascii="Book Antiqua" w:hAnsi="Book Antiqua"/>
              </w:rPr>
            </w:pPr>
            <w:r>
              <w:rPr>
                <w:rFonts w:ascii="Book Antiqua" w:hAnsi="Book Antiqua"/>
              </w:rPr>
              <w:t>13%</w:t>
            </w:r>
          </w:p>
        </w:tc>
        <w:tc>
          <w:tcPr>
            <w:tcW w:w="1595" w:type="dxa"/>
          </w:tcPr>
          <w:p w:rsidR="00E54B45" w:rsidRDefault="00E54B45" w:rsidP="006F5BEC">
            <w:pPr>
              <w:pStyle w:val="BodyTextIndent"/>
              <w:ind w:firstLine="0"/>
              <w:jc w:val="center"/>
              <w:rPr>
                <w:rFonts w:ascii="Book Antiqua" w:hAnsi="Book Antiqua"/>
              </w:rPr>
            </w:pPr>
            <w:r>
              <w:rPr>
                <w:rFonts w:ascii="Book Antiqua" w:hAnsi="Book Antiqua"/>
              </w:rPr>
              <w:t>6%</w:t>
            </w:r>
          </w:p>
        </w:tc>
        <w:tc>
          <w:tcPr>
            <w:tcW w:w="1326" w:type="dxa"/>
          </w:tcPr>
          <w:p w:rsidR="00E54B45" w:rsidRDefault="00E54B45" w:rsidP="006F5BEC">
            <w:pPr>
              <w:pStyle w:val="BodyTextIndent"/>
              <w:ind w:firstLine="0"/>
              <w:jc w:val="center"/>
              <w:rPr>
                <w:rFonts w:ascii="Book Antiqua" w:hAnsi="Book Antiqua"/>
              </w:rPr>
            </w:pPr>
            <w:r>
              <w:rPr>
                <w:rFonts w:ascii="Book Antiqua" w:hAnsi="Book Antiqua"/>
              </w:rPr>
              <w:t>3</w:t>
            </w:r>
          </w:p>
        </w:tc>
      </w:tr>
      <w:tr w:rsidR="00E54B45" w:rsidTr="006F5BEC">
        <w:trPr>
          <w:jc w:val="center"/>
        </w:trPr>
        <w:tc>
          <w:tcPr>
            <w:tcW w:w="1557" w:type="dxa"/>
          </w:tcPr>
          <w:p w:rsidR="00E54B45" w:rsidRDefault="00E54B45" w:rsidP="006F5BEC">
            <w:pPr>
              <w:pStyle w:val="BodyTextIndent"/>
              <w:ind w:firstLine="0"/>
              <w:jc w:val="center"/>
              <w:rPr>
                <w:rFonts w:ascii="Book Antiqua" w:hAnsi="Book Antiqua"/>
              </w:rPr>
            </w:pPr>
            <w:r>
              <w:rPr>
                <w:rFonts w:ascii="Book Antiqua" w:hAnsi="Book Antiqua"/>
              </w:rPr>
              <w:t>WorldCom</w:t>
            </w:r>
          </w:p>
        </w:tc>
        <w:tc>
          <w:tcPr>
            <w:tcW w:w="1338" w:type="dxa"/>
          </w:tcPr>
          <w:p w:rsidR="00E54B45" w:rsidRDefault="00E54B45" w:rsidP="006F5BEC">
            <w:pPr>
              <w:pStyle w:val="BodyTextIndent"/>
              <w:ind w:firstLine="0"/>
              <w:jc w:val="center"/>
              <w:rPr>
                <w:rFonts w:ascii="Book Antiqua" w:hAnsi="Book Antiqua"/>
              </w:rPr>
            </w:pPr>
            <w:r>
              <w:rPr>
                <w:rFonts w:ascii="Book Antiqua" w:hAnsi="Book Antiqua"/>
              </w:rPr>
              <w:t>8%</w:t>
            </w:r>
          </w:p>
        </w:tc>
        <w:tc>
          <w:tcPr>
            <w:tcW w:w="1595" w:type="dxa"/>
          </w:tcPr>
          <w:p w:rsidR="00E54B45" w:rsidRDefault="00E54B45" w:rsidP="006F5BEC">
            <w:pPr>
              <w:pStyle w:val="BodyTextIndent"/>
              <w:ind w:firstLine="0"/>
              <w:jc w:val="center"/>
              <w:rPr>
                <w:rFonts w:ascii="Book Antiqua" w:hAnsi="Book Antiqua"/>
              </w:rPr>
            </w:pPr>
            <w:r>
              <w:rPr>
                <w:rFonts w:ascii="Book Antiqua" w:hAnsi="Book Antiqua"/>
              </w:rPr>
              <w:t>8%</w:t>
            </w:r>
          </w:p>
        </w:tc>
        <w:tc>
          <w:tcPr>
            <w:tcW w:w="1326" w:type="dxa"/>
          </w:tcPr>
          <w:p w:rsidR="00E54B45" w:rsidRDefault="00E54B45" w:rsidP="006F5BEC">
            <w:pPr>
              <w:pStyle w:val="BodyTextIndent"/>
              <w:ind w:firstLine="0"/>
              <w:jc w:val="center"/>
              <w:rPr>
                <w:rFonts w:ascii="Book Antiqua" w:hAnsi="Book Antiqua"/>
              </w:rPr>
            </w:pPr>
            <w:r>
              <w:rPr>
                <w:rFonts w:ascii="Book Antiqua" w:hAnsi="Book Antiqua"/>
              </w:rPr>
              <w:t>4</w:t>
            </w:r>
          </w:p>
        </w:tc>
      </w:tr>
      <w:tr w:rsidR="00E54B45" w:rsidTr="006F5BEC">
        <w:trPr>
          <w:jc w:val="center"/>
        </w:trPr>
        <w:tc>
          <w:tcPr>
            <w:tcW w:w="1557" w:type="dxa"/>
          </w:tcPr>
          <w:p w:rsidR="00E54B45" w:rsidRDefault="00E54B45" w:rsidP="006F5BEC">
            <w:pPr>
              <w:pStyle w:val="BodyTextIndent"/>
              <w:ind w:firstLine="0"/>
              <w:jc w:val="center"/>
              <w:rPr>
                <w:rFonts w:ascii="Book Antiqua" w:hAnsi="Book Antiqua"/>
              </w:rPr>
            </w:pPr>
            <w:r>
              <w:rPr>
                <w:rFonts w:ascii="Book Antiqua" w:hAnsi="Book Antiqua"/>
              </w:rPr>
              <w:t>Tyco</w:t>
            </w:r>
          </w:p>
        </w:tc>
        <w:tc>
          <w:tcPr>
            <w:tcW w:w="1338" w:type="dxa"/>
          </w:tcPr>
          <w:p w:rsidR="00E54B45" w:rsidRDefault="00E54B45" w:rsidP="006F5BEC">
            <w:pPr>
              <w:pStyle w:val="BodyTextIndent"/>
              <w:ind w:firstLine="0"/>
              <w:jc w:val="center"/>
              <w:rPr>
                <w:rFonts w:ascii="Book Antiqua" w:hAnsi="Book Antiqua"/>
              </w:rPr>
            </w:pPr>
            <w:r>
              <w:rPr>
                <w:rFonts w:ascii="Book Antiqua" w:hAnsi="Book Antiqua"/>
              </w:rPr>
              <w:t>12%</w:t>
            </w:r>
          </w:p>
        </w:tc>
        <w:tc>
          <w:tcPr>
            <w:tcW w:w="1595" w:type="dxa"/>
          </w:tcPr>
          <w:p w:rsidR="00E54B45" w:rsidRDefault="00E54B45" w:rsidP="006F5BEC">
            <w:pPr>
              <w:pStyle w:val="BodyTextIndent"/>
              <w:ind w:firstLine="0"/>
              <w:jc w:val="center"/>
              <w:rPr>
                <w:rFonts w:ascii="Book Antiqua" w:hAnsi="Book Antiqua"/>
              </w:rPr>
            </w:pPr>
            <w:r>
              <w:rPr>
                <w:rFonts w:ascii="Book Antiqua" w:hAnsi="Book Antiqua"/>
              </w:rPr>
              <w:t>10%</w:t>
            </w:r>
          </w:p>
        </w:tc>
        <w:tc>
          <w:tcPr>
            <w:tcW w:w="1326" w:type="dxa"/>
          </w:tcPr>
          <w:p w:rsidR="00E54B45" w:rsidRDefault="00E54B45" w:rsidP="006F5BEC">
            <w:pPr>
              <w:pStyle w:val="BodyTextIndent"/>
              <w:ind w:firstLine="0"/>
              <w:jc w:val="center"/>
              <w:rPr>
                <w:rFonts w:ascii="Book Antiqua" w:hAnsi="Book Antiqua"/>
              </w:rPr>
            </w:pPr>
            <w:r>
              <w:rPr>
                <w:rFonts w:ascii="Book Antiqua" w:hAnsi="Book Antiqua"/>
              </w:rPr>
              <w:t>7</w:t>
            </w:r>
          </w:p>
        </w:tc>
      </w:tr>
      <w:tr w:rsidR="00E54B45" w:rsidTr="006F5BEC">
        <w:trPr>
          <w:jc w:val="center"/>
        </w:trPr>
        <w:tc>
          <w:tcPr>
            <w:tcW w:w="1557" w:type="dxa"/>
          </w:tcPr>
          <w:p w:rsidR="00E54B45" w:rsidRDefault="00E54B45" w:rsidP="006F5BEC">
            <w:pPr>
              <w:pStyle w:val="BodyTextIndent"/>
              <w:ind w:firstLine="0"/>
              <w:jc w:val="center"/>
              <w:rPr>
                <w:rFonts w:ascii="Book Antiqua" w:hAnsi="Book Antiqua"/>
              </w:rPr>
            </w:pPr>
            <w:proofErr w:type="spellStart"/>
            <w:r>
              <w:rPr>
                <w:rFonts w:ascii="Book Antiqua" w:hAnsi="Book Antiqua"/>
              </w:rPr>
              <w:t>eToys</w:t>
            </w:r>
            <w:proofErr w:type="spellEnd"/>
          </w:p>
        </w:tc>
        <w:tc>
          <w:tcPr>
            <w:tcW w:w="1338" w:type="dxa"/>
          </w:tcPr>
          <w:p w:rsidR="00E54B45" w:rsidRDefault="00E54B45" w:rsidP="006F5BEC">
            <w:pPr>
              <w:pStyle w:val="BodyTextIndent"/>
              <w:ind w:firstLine="0"/>
              <w:jc w:val="center"/>
              <w:rPr>
                <w:rFonts w:ascii="Book Antiqua" w:hAnsi="Book Antiqua"/>
              </w:rPr>
            </w:pPr>
            <w:r>
              <w:rPr>
                <w:rFonts w:ascii="Book Antiqua" w:hAnsi="Book Antiqua"/>
              </w:rPr>
              <w:t>14%</w:t>
            </w:r>
          </w:p>
        </w:tc>
        <w:tc>
          <w:tcPr>
            <w:tcW w:w="1595" w:type="dxa"/>
          </w:tcPr>
          <w:p w:rsidR="00E54B45" w:rsidRDefault="00E54B45" w:rsidP="006F5BEC">
            <w:pPr>
              <w:pStyle w:val="BodyTextIndent"/>
              <w:ind w:firstLine="0"/>
              <w:jc w:val="center"/>
              <w:rPr>
                <w:rFonts w:ascii="Book Antiqua" w:hAnsi="Book Antiqua"/>
              </w:rPr>
            </w:pPr>
            <w:r>
              <w:rPr>
                <w:rFonts w:ascii="Book Antiqua" w:hAnsi="Book Antiqua"/>
              </w:rPr>
              <w:t>9%</w:t>
            </w:r>
          </w:p>
        </w:tc>
        <w:tc>
          <w:tcPr>
            <w:tcW w:w="1326" w:type="dxa"/>
          </w:tcPr>
          <w:p w:rsidR="00E54B45" w:rsidRDefault="00E54B45" w:rsidP="006F5BEC">
            <w:pPr>
              <w:pStyle w:val="BodyTextIndent"/>
              <w:ind w:firstLine="0"/>
              <w:jc w:val="center"/>
              <w:rPr>
                <w:rFonts w:ascii="Book Antiqua" w:hAnsi="Book Antiqua"/>
              </w:rPr>
            </w:pPr>
            <w:r>
              <w:rPr>
                <w:rFonts w:ascii="Book Antiqua" w:hAnsi="Book Antiqua"/>
              </w:rPr>
              <w:t>9</w:t>
            </w:r>
          </w:p>
        </w:tc>
      </w:tr>
    </w:tbl>
    <w:p w:rsidR="00E54B45" w:rsidRDefault="00E54B45" w:rsidP="00E54B45">
      <w:pPr>
        <w:pStyle w:val="BodyTextIndent"/>
        <w:spacing w:before="40" w:after="40"/>
        <w:ind w:firstLine="0"/>
        <w:rPr>
          <w:rFonts w:ascii="Book Antiqua" w:hAnsi="Book Antiqua"/>
        </w:rPr>
      </w:pPr>
      <w:proofErr w:type="spellStart"/>
      <w:r>
        <w:rPr>
          <w:rFonts w:ascii="Book Antiqua" w:hAnsi="Book Antiqua"/>
        </w:rPr>
        <w:t>Solodrex</w:t>
      </w:r>
      <w:proofErr w:type="spellEnd"/>
      <w:r>
        <w:rPr>
          <w:rFonts w:ascii="Book Antiqua" w:hAnsi="Book Antiqua"/>
        </w:rPr>
        <w:t xml:space="preserve"> would like to maximize the expected return from its portfolio, as long as the worst-case return is at least 8%. In order to diversify away the non-market risk of its securities, </w:t>
      </w:r>
      <w:proofErr w:type="spellStart"/>
      <w:r>
        <w:rPr>
          <w:rFonts w:ascii="Book Antiqua" w:hAnsi="Book Antiqua"/>
        </w:rPr>
        <w:t>Solodrex</w:t>
      </w:r>
      <w:proofErr w:type="spellEnd"/>
      <w:r>
        <w:rPr>
          <w:rFonts w:ascii="Book Antiqua" w:hAnsi="Book Antiqua"/>
        </w:rPr>
        <w:t xml:space="preserve"> has a strict policy of not investing more than 40% of its portfolio in any single bond.</w:t>
      </w:r>
    </w:p>
    <w:p w:rsidR="00E54B45" w:rsidRDefault="00E54B45" w:rsidP="00E54B45">
      <w:pPr>
        <w:pStyle w:val="BodyTextIndent"/>
        <w:spacing w:before="40" w:after="40"/>
        <w:ind w:firstLine="0"/>
        <w:rPr>
          <w:rFonts w:ascii="Book Antiqua" w:hAnsi="Book Antiqua"/>
        </w:rPr>
      </w:pPr>
      <w:r>
        <w:rPr>
          <w:rFonts w:ascii="Book Antiqua" w:hAnsi="Book Antiqua"/>
        </w:rPr>
        <w:t xml:space="preserve">The final column in the table defines the “duration” of the bond. Roughly speaking, the duration of a bond is the average time at which its payments are received. (More formally, it is “the time-weighted average of the bond’s discounted payments as a proportion of the bond’s price.” [p. 366 of Financial Modeling (2nd ed.) by </w:t>
      </w:r>
      <w:smartTag w:uri="urn:schemas-microsoft-com:office:smarttags" w:element="place">
        <w:r>
          <w:rPr>
            <w:rFonts w:ascii="Book Antiqua" w:hAnsi="Book Antiqua"/>
          </w:rPr>
          <w:t xml:space="preserve">S. </w:t>
        </w:r>
        <w:proofErr w:type="spellStart"/>
        <w:r>
          <w:rPr>
            <w:rFonts w:ascii="Book Antiqua" w:hAnsi="Book Antiqua"/>
          </w:rPr>
          <w:t>Benninga</w:t>
        </w:r>
      </w:smartTag>
      <w:proofErr w:type="spellEnd"/>
      <w:r>
        <w:rPr>
          <w:rFonts w:ascii="Book Antiqua" w:hAnsi="Book Antiqua"/>
        </w:rPr>
        <w:t xml:space="preserve">].) The duration of a bond measures the sensitivity of its value to changes in the interest rate, and so defines the riskiness of the bond’s stream of certain payments. In order to match its own anticipated stream of payments, </w:t>
      </w:r>
      <w:proofErr w:type="spellStart"/>
      <w:r>
        <w:rPr>
          <w:rFonts w:ascii="Book Antiqua" w:hAnsi="Book Antiqua"/>
        </w:rPr>
        <w:t>Solodrex</w:t>
      </w:r>
      <w:proofErr w:type="spellEnd"/>
      <w:r>
        <w:rPr>
          <w:rFonts w:ascii="Book Antiqua" w:hAnsi="Book Antiqua"/>
        </w:rPr>
        <w:t xml:space="preserve"> requires the average duration of its portfolio to be between five and six years.</w:t>
      </w:r>
    </w:p>
    <w:p w:rsidR="00E54B45" w:rsidRDefault="00E54B45" w:rsidP="00E54B45">
      <w:pPr>
        <w:spacing w:before="40" w:after="40"/>
        <w:rPr>
          <w:rFonts w:ascii="Book Antiqua" w:hAnsi="Book Antiqua"/>
          <w:sz w:val="24"/>
        </w:rPr>
      </w:pPr>
      <w:r>
        <w:rPr>
          <w:rFonts w:ascii="Book Antiqua" w:hAnsi="Book Antiqua"/>
          <w:sz w:val="24"/>
        </w:rPr>
        <w:t xml:space="preserve">Assume that </w:t>
      </w:r>
      <w:proofErr w:type="spellStart"/>
      <w:r>
        <w:rPr>
          <w:rFonts w:ascii="Book Antiqua" w:hAnsi="Book Antiqua"/>
          <w:sz w:val="24"/>
        </w:rPr>
        <w:t>Solodrex</w:t>
      </w:r>
      <w:proofErr w:type="spellEnd"/>
      <w:r>
        <w:rPr>
          <w:rFonts w:ascii="Book Antiqua" w:hAnsi="Book Antiqua"/>
          <w:sz w:val="24"/>
        </w:rPr>
        <w:t xml:space="preserve"> cannot take short positions in bonds, and that bonds can be purchased in any amount.</w:t>
      </w:r>
    </w:p>
    <w:p w:rsidR="00E54B45" w:rsidRDefault="00E54B45" w:rsidP="00E54B45">
      <w:pPr>
        <w:spacing w:before="40" w:after="40"/>
        <w:rPr>
          <w:rFonts w:ascii="Book Antiqua" w:hAnsi="Book Antiqua"/>
          <w:sz w:val="24"/>
        </w:rPr>
      </w:pPr>
    </w:p>
    <w:p w:rsidR="00E54B45" w:rsidRPr="00A01581" w:rsidRDefault="00E54B45" w:rsidP="00E54B45"/>
    <w:p w:rsidR="00D37F0F" w:rsidRPr="00E54B45" w:rsidRDefault="00D37F0F" w:rsidP="00E54B45">
      <w:bookmarkStart w:id="0" w:name="_GoBack"/>
      <w:bookmarkEnd w:id="0"/>
    </w:p>
    <w:sectPr w:rsidR="00D37F0F" w:rsidRPr="00E54B45">
      <w:footerReference w:type="even" r:id="rId7"/>
      <w:footerReference w:type="default" r:id="rId8"/>
      <w:headerReference w:type="first" r:id="rId9"/>
      <w:pgSz w:w="12240" w:h="15840" w:code="1"/>
      <w:pgMar w:top="1152" w:right="1296" w:bottom="1152" w:left="1296"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7F0F" w:rsidRDefault="00D42545">
      <w:r>
        <w:separator/>
      </w:r>
    </w:p>
  </w:endnote>
  <w:endnote w:type="continuationSeparator" w:id="0">
    <w:p w:rsidR="00D37F0F" w:rsidRDefault="00D425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7F0F" w:rsidRDefault="00D425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D37F0F" w:rsidRDefault="00D37F0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54891681"/>
      <w:docPartObj>
        <w:docPartGallery w:val="Page Numbers (Bottom of Page)"/>
        <w:docPartUnique/>
      </w:docPartObj>
    </w:sdtPr>
    <w:sdtEndPr>
      <w:rPr>
        <w:noProof/>
      </w:rPr>
    </w:sdtEndPr>
    <w:sdtContent>
      <w:p w:rsidR="008A6E62" w:rsidRDefault="008A6E62">
        <w:pPr>
          <w:pStyle w:val="Footer"/>
          <w:jc w:val="center"/>
        </w:pPr>
        <w:r>
          <w:fldChar w:fldCharType="begin"/>
        </w:r>
        <w:r>
          <w:instrText xml:space="preserve"> PAGE   \* MERGEFORMAT </w:instrText>
        </w:r>
        <w:r>
          <w:fldChar w:fldCharType="separate"/>
        </w:r>
        <w:r w:rsidR="00E54B45">
          <w:rPr>
            <w:noProof/>
          </w:rPr>
          <w:t>2</w:t>
        </w:r>
        <w:r>
          <w:rPr>
            <w:noProof/>
          </w:rPr>
          <w:fldChar w:fldCharType="end"/>
        </w:r>
      </w:p>
    </w:sdtContent>
  </w:sdt>
  <w:p w:rsidR="00D37F0F" w:rsidRDefault="008A6E62" w:rsidP="008A6E62">
    <w:pPr>
      <w:pStyle w:val="Footer"/>
      <w:tabs>
        <w:tab w:val="clear" w:pos="4320"/>
        <w:tab w:val="clear" w:pos="8640"/>
        <w:tab w:val="center" w:pos="4860"/>
        <w:tab w:val="right" w:pos="9540"/>
      </w:tabs>
      <w:rPr>
        <w:rFonts w:ascii="Book Antiqua" w:hAnsi="Book Antiqua"/>
      </w:rPr>
    </w:pPr>
    <w:r>
      <w:rPr>
        <w:rFonts w:ascii="Book Antiqua" w:hAnsi="Book Antiqua"/>
      </w:rPr>
      <w:t>Operations</w:t>
    </w:r>
    <w:r>
      <w:rPr>
        <w:rFonts w:ascii="Book Antiqua" w:hAnsi="Book Antiqua"/>
      </w:rPr>
      <w:tab/>
    </w:r>
    <w:r>
      <w:rPr>
        <w:rFonts w:ascii="Book Antiqua" w:hAnsi="Book Antiqua"/>
      </w:rPr>
      <w:tab/>
      <w:t>Prof. Juran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7F0F" w:rsidRDefault="00D42545">
      <w:r>
        <w:separator/>
      </w:r>
    </w:p>
  </w:footnote>
  <w:footnote w:type="continuationSeparator" w:id="0">
    <w:p w:rsidR="00D37F0F" w:rsidRDefault="00D42545">
      <w:r>
        <w:continuationSeparator/>
      </w:r>
    </w:p>
  </w:footnote>
  <w:footnote w:id="1">
    <w:p w:rsidR="00E54B45" w:rsidRDefault="00E54B45" w:rsidP="00E54B45">
      <w:pPr>
        <w:spacing w:before="40" w:after="40"/>
        <w:rPr>
          <w:rFonts w:ascii="Book Antiqua" w:hAnsi="Book Antiqua"/>
        </w:rPr>
      </w:pPr>
      <w:r>
        <w:rPr>
          <w:rStyle w:val="FootnoteReference"/>
          <w:rFonts w:ascii="Book Antiqua" w:hAnsi="Book Antiqua"/>
        </w:rPr>
        <w:footnoteRef/>
      </w:r>
      <w:r>
        <w:rPr>
          <w:rFonts w:ascii="Book Antiqua" w:hAnsi="Book Antiqua"/>
        </w:rPr>
        <w:t xml:space="preserve"> This problem was lightly adapted from Question 3-13 of Practical Management Science (1st ed.) by Winston and Albright.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7F0F" w:rsidRDefault="00184197" w:rsidP="00184197">
    <w:pPr>
      <w:pStyle w:val="Header"/>
    </w:pPr>
    <w:r>
      <w:rPr>
        <w:noProof/>
      </w:rPr>
      <w:drawing>
        <wp:inline distT="0" distB="0" distL="0" distR="0">
          <wp:extent cx="4514850" cy="8667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m-logo.gif"/>
                  <pic:cNvPicPr/>
                </pic:nvPicPr>
                <pic:blipFill>
                  <a:blip r:embed="rId1">
                    <a:extLst>
                      <a:ext uri="{28A0092B-C50C-407E-A947-70E740481C1C}">
                        <a14:useLocalDpi xmlns:a14="http://schemas.microsoft.com/office/drawing/2010/main" val="0"/>
                      </a:ext>
                    </a:extLst>
                  </a:blip>
                  <a:stretch>
                    <a:fillRect/>
                  </a:stretch>
                </pic:blipFill>
                <pic:spPr>
                  <a:xfrm>
                    <a:off x="0" y="0"/>
                    <a:ext cx="4514850" cy="866775"/>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6160699"/>
    <w:multiLevelType w:val="hybridMultilevel"/>
    <w:tmpl w:val="BC7C61AE"/>
    <w:lvl w:ilvl="0" w:tplc="3E7A25F4">
      <w:start w:val="1"/>
      <w:numFmt w:val="decimal"/>
      <w:lvlText w:val="%1."/>
      <w:lvlJc w:val="left"/>
      <w:pPr>
        <w:tabs>
          <w:tab w:val="num" w:pos="768"/>
        </w:tabs>
        <w:ind w:left="768" w:hanging="360"/>
      </w:pPr>
      <w:rPr>
        <w:rFonts w:ascii="Times New Roman" w:hAnsi="Times New Roman" w:hint="default"/>
        <w:color w:val="000000"/>
      </w:rPr>
    </w:lvl>
    <w:lvl w:ilvl="1" w:tplc="8D429E28">
      <w:start w:val="1"/>
      <w:numFmt w:val="upperLetter"/>
      <w:lvlText w:val="%2)"/>
      <w:lvlJc w:val="left"/>
      <w:pPr>
        <w:tabs>
          <w:tab w:val="num" w:pos="1800"/>
        </w:tabs>
        <w:ind w:left="1800" w:hanging="72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3D867044"/>
    <w:multiLevelType w:val="hybridMultilevel"/>
    <w:tmpl w:val="01462AE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474B472A"/>
    <w:multiLevelType w:val="hybridMultilevel"/>
    <w:tmpl w:val="A19C4BEA"/>
    <w:lvl w:ilvl="0" w:tplc="04090019">
      <w:start w:val="1"/>
      <w:numFmt w:val="low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532451E8"/>
    <w:multiLevelType w:val="hybridMultilevel"/>
    <w:tmpl w:val="EFD0B372"/>
    <w:lvl w:ilvl="0" w:tplc="04090019">
      <w:start w:val="1"/>
      <w:numFmt w:val="low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7EEB46B2"/>
    <w:multiLevelType w:val="hybridMultilevel"/>
    <w:tmpl w:val="9EAA84BC"/>
    <w:lvl w:ilvl="0" w:tplc="04090019">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4"/>
  </w:num>
  <w:num w:numId="2">
    <w:abstractNumId w:val="3"/>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isplayHorizontalDrawingGridEvery w:val="0"/>
  <w:displayVerticalDrawingGridEvery w:val="0"/>
  <w:doNotUseMarginsForDrawingGridOrigin/>
  <w:noPunctuationKerning/>
  <w:characterSpacingControl w:val="doNotCompress"/>
  <w:hdrShapeDefaults>
    <o:shapedefaults v:ext="edit" spidmax="71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2545"/>
    <w:rsid w:val="00184197"/>
    <w:rsid w:val="008A6E62"/>
    <w:rsid w:val="00D37F0F"/>
    <w:rsid w:val="00D42545"/>
    <w:rsid w:val="00E54B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7169"/>
    <o:shapelayout v:ext="edit">
      <o:idmap v:ext="edit" data="1"/>
    </o:shapelayout>
  </w:shapeDefaults>
  <w:decimalSymbol w:val="."/>
  <w:listSeparator w:val=","/>
  <w15:docId w15:val="{ECF88D0E-1800-4403-B4EC-BFC2E9D9E0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qFormat/>
    <w:pPr>
      <w:keepNext/>
      <w:spacing w:before="240" w:after="60"/>
      <w:outlineLvl w:val="0"/>
    </w:pPr>
    <w:rPr>
      <w:b/>
      <w:sz w:val="28"/>
    </w:rPr>
  </w:style>
  <w:style w:type="paragraph" w:styleId="Heading2">
    <w:name w:val="heading 2"/>
    <w:basedOn w:val="Normal"/>
    <w:next w:val="Normal"/>
    <w:qFormat/>
    <w:pPr>
      <w:keepNext/>
      <w:jc w:val="center"/>
      <w:outlineLvl w:val="1"/>
    </w:pPr>
    <w:rPr>
      <w:sz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emiHidden/>
  </w:style>
  <w:style w:type="paragraph" w:customStyle="1" w:styleId="p13">
    <w:name w:val="p13"/>
    <w:basedOn w:val="Normal"/>
    <w:pPr>
      <w:widowControl w:val="0"/>
      <w:spacing w:line="340" w:lineRule="atLeast"/>
    </w:pPr>
    <w:rPr>
      <w:snapToGrid w:val="0"/>
      <w:sz w:val="24"/>
    </w:rPr>
  </w:style>
  <w:style w:type="paragraph" w:styleId="FootnoteText">
    <w:name w:val="footnote text"/>
    <w:basedOn w:val="Normal"/>
    <w:semiHidden/>
  </w:style>
  <w:style w:type="character" w:styleId="FootnoteReference">
    <w:name w:val="footnote reference"/>
    <w:basedOn w:val="DefaultParagraphFont"/>
    <w:semiHidden/>
    <w:rPr>
      <w:vertAlign w:val="superscript"/>
    </w:rPr>
  </w:style>
  <w:style w:type="character" w:customStyle="1" w:styleId="FooterChar">
    <w:name w:val="Footer Char"/>
    <w:basedOn w:val="DefaultParagraphFont"/>
    <w:link w:val="Footer"/>
    <w:uiPriority w:val="99"/>
    <w:rsid w:val="008A6E62"/>
  </w:style>
  <w:style w:type="paragraph" w:styleId="BalloonText">
    <w:name w:val="Balloon Text"/>
    <w:basedOn w:val="Normal"/>
    <w:link w:val="BalloonTextChar"/>
    <w:uiPriority w:val="99"/>
    <w:semiHidden/>
    <w:unhideWhenUsed/>
    <w:rsid w:val="00184197"/>
    <w:rPr>
      <w:rFonts w:ascii="Tahoma" w:hAnsi="Tahoma" w:cs="Tahoma"/>
      <w:sz w:val="16"/>
      <w:szCs w:val="16"/>
    </w:rPr>
  </w:style>
  <w:style w:type="character" w:customStyle="1" w:styleId="BalloonTextChar">
    <w:name w:val="Balloon Text Char"/>
    <w:basedOn w:val="DefaultParagraphFont"/>
    <w:link w:val="BalloonText"/>
    <w:uiPriority w:val="99"/>
    <w:semiHidden/>
    <w:rsid w:val="00184197"/>
    <w:rPr>
      <w:rFonts w:ascii="Tahoma" w:hAnsi="Tahoma" w:cs="Tahoma"/>
      <w:sz w:val="16"/>
      <w:szCs w:val="16"/>
    </w:rPr>
  </w:style>
  <w:style w:type="paragraph" w:styleId="BodyTextIndent">
    <w:name w:val="Body Text Indent"/>
    <w:basedOn w:val="Normal"/>
    <w:link w:val="BodyTextIndentChar"/>
    <w:rsid w:val="00E54B45"/>
    <w:pPr>
      <w:ind w:firstLine="720"/>
    </w:pPr>
    <w:rPr>
      <w:sz w:val="24"/>
      <w:szCs w:val="24"/>
    </w:rPr>
  </w:style>
  <w:style w:type="character" w:customStyle="1" w:styleId="BodyTextIndentChar">
    <w:name w:val="Body Text Indent Char"/>
    <w:basedOn w:val="DefaultParagraphFont"/>
    <w:link w:val="BodyTextIndent"/>
    <w:rsid w:val="00E54B45"/>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203</Words>
  <Characters>1161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lpstr>
    </vt:vector>
  </TitlesOfParts>
  <Company>Micron Electronics, Inc.</Company>
  <LinksUpToDate>false</LinksUpToDate>
  <CharactersWithSpaces>1362</CharactersWithSpaces>
  <SharedDoc>false</SharedDoc>
  <HLinks>
    <vt:vector size="6" baseType="variant">
      <vt:variant>
        <vt:i4>524301</vt:i4>
      </vt:variant>
      <vt:variant>
        <vt:i4>3592</vt:i4>
      </vt:variant>
      <vt:variant>
        <vt:i4>1025</vt:i4>
      </vt:variant>
      <vt:variant>
        <vt:i4>1</vt:i4>
      </vt:variant>
      <vt:variant>
        <vt:lpwstr>e2314logo</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David Juran</dc:creator>
  <cp:keywords/>
  <cp:lastModifiedBy>David C Juran</cp:lastModifiedBy>
  <cp:revision>2</cp:revision>
  <cp:lastPrinted>2000-03-06T13:49:00Z</cp:lastPrinted>
  <dcterms:created xsi:type="dcterms:W3CDTF">2016-10-06T12:49:00Z</dcterms:created>
  <dcterms:modified xsi:type="dcterms:W3CDTF">2016-10-06T12:49:00Z</dcterms:modified>
</cp:coreProperties>
</file>