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1EE" w:rsidRDefault="003441EE" w:rsidP="003441EE">
      <w:pPr>
        <w:pStyle w:val="p13"/>
        <w:widowControl/>
        <w:tabs>
          <w:tab w:val="left" w:pos="720"/>
        </w:tabs>
        <w:spacing w:before="120" w:after="120" w:line="240" w:lineRule="auto"/>
        <w:jc w:val="center"/>
        <w:rPr>
          <w:rFonts w:ascii="Book Antiqua" w:hAnsi="Book Antiqua"/>
          <w:sz w:val="40"/>
        </w:rPr>
      </w:pPr>
      <w:r>
        <w:rPr>
          <w:rFonts w:ascii="Book Antiqua" w:hAnsi="Book Antiqua"/>
          <w:sz w:val="40"/>
        </w:rPr>
        <w:t>Solutions to SPC Practice Problems</w:t>
      </w: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1. The overall average on a process you are attempting to monitor is 50 units. The process standard deviation is known to be 1.72. Determine the upper and lower control limits for a mean chart, if you choose to use a sample size of 5. Set </w:t>
      </w:r>
      <w:r>
        <w:rPr>
          <w:rFonts w:ascii="Book Antiqua" w:hAnsi="Book Antiqua"/>
          <w:i/>
          <w:iCs/>
        </w:rPr>
        <w:t>z</w:t>
      </w:r>
      <w:r>
        <w:rPr>
          <w:rFonts w:ascii="Book Antiqua" w:hAnsi="Book Antiqua"/>
        </w:rPr>
        <w:t xml:space="preserve"> = 3.</w:t>
      </w: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>The control limits are calculated as follows: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302"/>
        <w:gridCol w:w="1722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26"/>
              </w:rPr>
              <w:object w:dxaOrig="940" w:dyaOrig="63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4" type="#_x0000_t75" style="width:47.25pt;height:31.7pt" o:ole="">
                  <v:imagedata r:id="rId7" o:title=""/>
                </v:shape>
                <o:OLEObject Type="Embed" ProgID="Equation.3" ShapeID="_x0000_i1054" DrawAspect="Content" ObjectID="_1452074705" r:id="rId8"/>
              </w:object>
            </w:r>
          </w:p>
        </w:tc>
        <w:tc>
          <w:tcPr>
            <w:tcW w:w="172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26"/>
              </w:rPr>
              <w:object w:dxaOrig="1320" w:dyaOrig="639">
                <v:shape id="_x0000_i1055" type="#_x0000_t75" style="width:66.25pt;height:31.7pt" o:ole="">
                  <v:imagedata r:id="rId9" o:title=""/>
                </v:shape>
                <o:OLEObject Type="Embed" ProgID="Equation.3" ShapeID="_x0000_i1055" DrawAspect="Content" ObjectID="_1452074706" r:id="rId10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72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1260" w:dyaOrig="279">
                <v:shape id="_x0000_i1056" type="#_x0000_t75" style="width:62.8pt;height:13.8pt" o:ole="">
                  <v:imagedata r:id="rId11" o:title=""/>
                </v:shape>
                <o:OLEObject Type="Embed" ProgID="Equation.3" ShapeID="_x0000_i1056" DrawAspect="Content" ObjectID="_1452074707" r:id="rId12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Or</w:t>
            </w:r>
          </w:p>
        </w:tc>
        <w:tc>
          <w:tcPr>
            <w:tcW w:w="172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(47.69, 52.31)</w:t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>2. Food Storage Technologies produces refrigeration units for food producers and retail food establishments. The overall average temperature that these units maintain is 46</w:t>
      </w:r>
      <w:r>
        <w:rPr>
          <w:rFonts w:ascii="Book Antiqua" w:hAnsi="Book Antiqua"/>
        </w:rPr>
        <w:sym w:font="Symbol" w:char="F0B0"/>
      </w:r>
      <w:r>
        <w:rPr>
          <w:rFonts w:ascii="Book Antiqua" w:hAnsi="Book Antiqua"/>
        </w:rPr>
        <w:t xml:space="preserve"> Fahrenheit. The average range is 2</w:t>
      </w:r>
      <w:r>
        <w:rPr>
          <w:rFonts w:ascii="Book Antiqua" w:hAnsi="Book Antiqua"/>
        </w:rPr>
        <w:sym w:font="Symbol" w:char="F0B0"/>
      </w:r>
      <w:r>
        <w:rPr>
          <w:rFonts w:ascii="Book Antiqua" w:hAnsi="Book Antiqua"/>
        </w:rPr>
        <w:t xml:space="preserve"> Fahrenheit. Samples of 6 are taken to monitor the production process. Determine the upper and lower control limits for both a mean chart and a range chart for these refrigeration units.</w:t>
      </w: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>Since the standard deviation is not known, we will use the given information about the average range of the samples, together with the following table</w:t>
      </w:r>
      <w:r>
        <w:rPr>
          <w:rStyle w:val="FootnoteReference"/>
          <w:rFonts w:ascii="Book Antiqua" w:hAnsi="Book Antiqua"/>
        </w:rPr>
        <w:footnoteReference w:id="1"/>
      </w:r>
      <w:r>
        <w:rPr>
          <w:rFonts w:ascii="Book Antiqua" w:hAnsi="Book Antiqua"/>
        </w:rPr>
        <w:t>: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614"/>
        <w:gridCol w:w="1752"/>
        <w:gridCol w:w="1836"/>
        <w:gridCol w:w="1838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</w:rPr>
            </w:pPr>
            <w:r>
              <w:rPr>
                <w:rFonts w:ascii="Book Antiqua" w:hAnsi="Book Antiqua"/>
                <w:b/>
                <w:bCs/>
                <w:sz w:val="20"/>
              </w:rPr>
              <w:t xml:space="preserve">Sample Size, </w:t>
            </w:r>
            <w:r>
              <w:rPr>
                <w:rFonts w:ascii="Book Antiqua" w:hAnsi="Book Antiqua"/>
                <w:b/>
                <w:bCs/>
                <w:i/>
                <w:sz w:val="20"/>
              </w:rPr>
              <w:t>n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</w:rPr>
            </w:pPr>
            <w:r>
              <w:rPr>
                <w:rFonts w:ascii="Book Antiqua" w:hAnsi="Book Antiqua"/>
                <w:b/>
                <w:bCs/>
                <w:sz w:val="20"/>
              </w:rPr>
              <w:t xml:space="preserve">Mean Factor, </w:t>
            </w:r>
            <w:r>
              <w:rPr>
                <w:rFonts w:ascii="Book Antiqua" w:hAnsi="Book Antiqua"/>
                <w:b/>
                <w:bCs/>
                <w:i/>
                <w:sz w:val="20"/>
              </w:rPr>
              <w:t>A</w:t>
            </w:r>
            <w:r>
              <w:rPr>
                <w:rFonts w:ascii="Book Antiqua" w:hAnsi="Book Antiqua"/>
                <w:b/>
                <w:bCs/>
                <w:sz w:val="20"/>
                <w:vertAlign w:val="subscript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</w:rPr>
            </w:pPr>
            <w:r>
              <w:rPr>
                <w:rFonts w:ascii="Book Antiqua" w:hAnsi="Book Antiqua"/>
                <w:b/>
                <w:bCs/>
                <w:sz w:val="20"/>
              </w:rPr>
              <w:t xml:space="preserve">Upper Range, </w:t>
            </w:r>
            <w:r>
              <w:rPr>
                <w:rFonts w:ascii="Book Antiqua" w:hAnsi="Book Antiqua"/>
                <w:b/>
                <w:bCs/>
                <w:i/>
                <w:sz w:val="20"/>
              </w:rPr>
              <w:t>D</w:t>
            </w:r>
            <w:r>
              <w:rPr>
                <w:rFonts w:ascii="Book Antiqua" w:hAnsi="Book Antiqua"/>
                <w:b/>
                <w:bCs/>
                <w:sz w:val="20"/>
                <w:vertAlign w:val="subscript"/>
              </w:rPr>
              <w:t>4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</w:rPr>
            </w:pPr>
            <w:r>
              <w:rPr>
                <w:rFonts w:ascii="Book Antiqua" w:hAnsi="Book Antiqua"/>
                <w:b/>
                <w:bCs/>
                <w:sz w:val="20"/>
              </w:rPr>
              <w:t xml:space="preserve">Lower Range, </w:t>
            </w:r>
            <w:r>
              <w:rPr>
                <w:rFonts w:ascii="Book Antiqua" w:hAnsi="Book Antiqua"/>
                <w:b/>
                <w:bCs/>
                <w:i/>
                <w:sz w:val="20"/>
              </w:rPr>
              <w:t>D</w:t>
            </w:r>
            <w:r>
              <w:rPr>
                <w:rFonts w:ascii="Book Antiqua" w:hAnsi="Book Antiqua"/>
                <w:b/>
                <w:bCs/>
                <w:sz w:val="20"/>
                <w:vertAlign w:val="subscript"/>
              </w:rPr>
              <w:t>3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4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</w:t>
            </w:r>
          </w:p>
        </w:tc>
        <w:tc>
          <w:tcPr>
            <w:tcW w:w="1752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1.880</w:t>
            </w:r>
          </w:p>
        </w:tc>
        <w:tc>
          <w:tcPr>
            <w:tcW w:w="1836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3.268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4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</w:t>
            </w:r>
          </w:p>
        </w:tc>
        <w:tc>
          <w:tcPr>
            <w:tcW w:w="175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1.023</w:t>
            </w:r>
          </w:p>
        </w:tc>
        <w:tc>
          <w:tcPr>
            <w:tcW w:w="1836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2.574</w:t>
            </w:r>
          </w:p>
        </w:tc>
        <w:tc>
          <w:tcPr>
            <w:tcW w:w="183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4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</w:t>
            </w:r>
          </w:p>
        </w:tc>
        <w:tc>
          <w:tcPr>
            <w:tcW w:w="175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0.729</w:t>
            </w:r>
          </w:p>
        </w:tc>
        <w:tc>
          <w:tcPr>
            <w:tcW w:w="1836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2.282</w:t>
            </w:r>
          </w:p>
        </w:tc>
        <w:tc>
          <w:tcPr>
            <w:tcW w:w="183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4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</w:t>
            </w:r>
          </w:p>
        </w:tc>
        <w:tc>
          <w:tcPr>
            <w:tcW w:w="175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0.577</w:t>
            </w:r>
          </w:p>
        </w:tc>
        <w:tc>
          <w:tcPr>
            <w:tcW w:w="1836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2.115</w:t>
            </w:r>
          </w:p>
        </w:tc>
        <w:tc>
          <w:tcPr>
            <w:tcW w:w="183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4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</w:t>
            </w:r>
          </w:p>
        </w:tc>
        <w:tc>
          <w:tcPr>
            <w:tcW w:w="175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0.483</w:t>
            </w:r>
          </w:p>
        </w:tc>
        <w:tc>
          <w:tcPr>
            <w:tcW w:w="1836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2.004</w:t>
            </w:r>
          </w:p>
        </w:tc>
        <w:tc>
          <w:tcPr>
            <w:tcW w:w="183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4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</w:t>
            </w:r>
          </w:p>
        </w:tc>
        <w:tc>
          <w:tcPr>
            <w:tcW w:w="175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0.419</w:t>
            </w:r>
          </w:p>
        </w:tc>
        <w:tc>
          <w:tcPr>
            <w:tcW w:w="1836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1.924</w:t>
            </w:r>
          </w:p>
        </w:tc>
        <w:tc>
          <w:tcPr>
            <w:tcW w:w="183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0.076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4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8</w:t>
            </w:r>
          </w:p>
        </w:tc>
        <w:tc>
          <w:tcPr>
            <w:tcW w:w="175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0.373</w:t>
            </w:r>
          </w:p>
        </w:tc>
        <w:tc>
          <w:tcPr>
            <w:tcW w:w="1836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1.864</w:t>
            </w:r>
          </w:p>
        </w:tc>
        <w:tc>
          <w:tcPr>
            <w:tcW w:w="183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0.136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4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</w:t>
            </w:r>
          </w:p>
        </w:tc>
        <w:tc>
          <w:tcPr>
            <w:tcW w:w="175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0.337</w:t>
            </w:r>
          </w:p>
        </w:tc>
        <w:tc>
          <w:tcPr>
            <w:tcW w:w="1836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1.816</w:t>
            </w:r>
          </w:p>
        </w:tc>
        <w:tc>
          <w:tcPr>
            <w:tcW w:w="183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0.184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4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</w:t>
            </w:r>
          </w:p>
        </w:tc>
        <w:tc>
          <w:tcPr>
            <w:tcW w:w="175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0.308</w:t>
            </w:r>
          </w:p>
        </w:tc>
        <w:tc>
          <w:tcPr>
            <w:tcW w:w="1836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1.777</w:t>
            </w:r>
          </w:p>
        </w:tc>
        <w:tc>
          <w:tcPr>
            <w:tcW w:w="183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0.223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4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12</w:t>
            </w:r>
          </w:p>
        </w:tc>
        <w:tc>
          <w:tcPr>
            <w:tcW w:w="1752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0.266</w:t>
            </w: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1.716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0.284</w:t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line="240" w:lineRule="auto"/>
        <w:rPr>
          <w:rFonts w:ascii="Book Antiqua" w:hAnsi="Book Antiqua"/>
          <w:sz w:val="20"/>
        </w:rPr>
      </w:pPr>
      <w:r>
        <w:rPr>
          <w:rFonts w:ascii="Book Antiqua" w:hAnsi="Book Antiqua"/>
          <w:sz w:val="20"/>
        </w:rPr>
        <w:t>Factors for Computing 3 Sigma Control Chart Limits</w:t>
      </w: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br w:type="page"/>
      </w:r>
      <w:r>
        <w:rPr>
          <w:rFonts w:ascii="Book Antiqua" w:hAnsi="Book Antiqua"/>
        </w:rPr>
        <w:lastRenderedPageBreak/>
        <w:t>For the mean chart: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282"/>
        <w:gridCol w:w="1902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920" w:dyaOrig="360">
                <v:shape id="_x0000_i1057" type="#_x0000_t75" style="width:46.1pt;height:17.85pt" o:ole="">
                  <v:imagedata r:id="rId13" o:title=""/>
                </v:shape>
                <o:OLEObject Type="Embed" ProgID="Equation.3" ShapeID="_x0000_i1057" DrawAspect="Content" ObjectID="_1452074708" r:id="rId14"/>
              </w:object>
            </w:r>
          </w:p>
        </w:tc>
        <w:tc>
          <w:tcPr>
            <w:tcW w:w="1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1540" w:dyaOrig="320">
                <v:shape id="_x0000_i1058" type="#_x0000_t75" style="width:77.2pt;height:16.15pt" o:ole="">
                  <v:imagedata r:id="rId15" o:title=""/>
                </v:shape>
                <o:OLEObject Type="Embed" ProgID="Equation.3" ShapeID="_x0000_i1058" DrawAspect="Content" ObjectID="_1452074709" r:id="rId16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1260" w:dyaOrig="279">
                <v:shape id="_x0000_i1059" type="#_x0000_t75" style="width:62.8pt;height:13.8pt" o:ole="">
                  <v:imagedata r:id="rId17" o:title=""/>
                </v:shape>
                <o:OLEObject Type="Embed" ProgID="Equation.3" ShapeID="_x0000_i1059" DrawAspect="Content" ObjectID="_1452074710" r:id="rId18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Or</w:t>
            </w:r>
          </w:p>
        </w:tc>
        <w:tc>
          <w:tcPr>
            <w:tcW w:w="1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(45.03, 46.97)</w:t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>For the range chart: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861"/>
        <w:gridCol w:w="1082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61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499" w:dyaOrig="279">
                <v:shape id="_x0000_i1060" type="#_x0000_t75" style="width:24.75pt;height:13.8pt" o:ole="">
                  <v:imagedata r:id="rId19" o:title=""/>
                </v:shape>
                <o:OLEObject Type="Embed" ProgID="Equation.3" ShapeID="_x0000_i1060" DrawAspect="Content" ObjectID="_1452074711" r:id="rId20"/>
              </w:object>
            </w:r>
          </w:p>
        </w:tc>
        <w:tc>
          <w:tcPr>
            <w:tcW w:w="10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2"/>
              </w:rPr>
              <w:object w:dxaOrig="720" w:dyaOrig="380">
                <v:shape id="_x0000_i1061" type="#_x0000_t75" style="width:36.3pt;height:19pt" o:ole="">
                  <v:imagedata r:id="rId21" o:title=""/>
                </v:shape>
                <o:OLEObject Type="Embed" ProgID="Equation.3" ShapeID="_x0000_i1061" DrawAspect="Content" ObjectID="_1452074712" r:id="rId22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61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0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660" w:dyaOrig="320">
                <v:shape id="_x0000_i1062" type="#_x0000_t75" style="width:32.85pt;height:16.15pt" o:ole="">
                  <v:imagedata r:id="rId23" o:title=""/>
                </v:shape>
                <o:OLEObject Type="Embed" ProgID="Equation.3" ShapeID="_x0000_i1062" DrawAspect="Content" ObjectID="_1452074713" r:id="rId24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61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0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380" w:dyaOrig="279">
                <v:shape id="_x0000_i1063" type="#_x0000_t75" style="width:19pt;height:13.8pt" o:ole="">
                  <v:imagedata r:id="rId25" o:title=""/>
                </v:shape>
                <o:OLEObject Type="Embed" ProgID="Equation.3" ShapeID="_x0000_i1063" DrawAspect="Content" ObjectID="_1452074714" r:id="rId26"/>
              </w:object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902"/>
        <w:gridCol w:w="1442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540" w:dyaOrig="279">
                <v:shape id="_x0000_i1064" type="#_x0000_t75" style="width:27.05pt;height:13.8pt" o:ole="">
                  <v:imagedata r:id="rId27" o:title=""/>
                </v:shape>
                <o:OLEObject Type="Embed" ProgID="Equation.3" ShapeID="_x0000_i1064" DrawAspect="Content" ObjectID="_1452074715" r:id="rId28"/>
              </w:object>
            </w:r>
          </w:p>
        </w:tc>
        <w:tc>
          <w:tcPr>
            <w:tcW w:w="144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720" w:dyaOrig="360">
                <v:shape id="_x0000_i1065" type="#_x0000_t75" style="width:36.3pt;height:17.85pt" o:ole="">
                  <v:imagedata r:id="rId29" o:title=""/>
                </v:shape>
                <o:OLEObject Type="Embed" ProgID="Equation.3" ShapeID="_x0000_i1065" DrawAspect="Content" ObjectID="_1452074716" r:id="rId30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44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1080" w:dyaOrig="320">
                <v:shape id="_x0000_i1066" type="#_x0000_t75" style="width:54.15pt;height:16.15pt" o:ole="">
                  <v:imagedata r:id="rId31" o:title=""/>
                </v:shape>
                <o:OLEObject Type="Embed" ProgID="Equation.3" ShapeID="_x0000_i1066" DrawAspect="Content" ObjectID="_1452074717" r:id="rId32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44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800" w:dyaOrig="279">
                <v:shape id="_x0000_i1067" type="#_x0000_t75" style="width:39.75pt;height:13.8pt" o:ole="">
                  <v:imagedata r:id="rId33" o:title=""/>
                </v:shape>
                <o:OLEObject Type="Embed" ProgID="Equation.3" ShapeID="_x0000_i1067" DrawAspect="Content" ObjectID="_1452074718" r:id="rId34"/>
              </w:object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>3. Sampling 4 pieces of precision-cut wire (to be used in computer assembly) every hour for the past 24 hours has produced the following results: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161"/>
        <w:gridCol w:w="1161"/>
        <w:gridCol w:w="1161"/>
        <w:gridCol w:w="1161"/>
        <w:gridCol w:w="1161"/>
        <w:gridCol w:w="1161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Hour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position w:val="-4"/>
                <w:sz w:val="20"/>
              </w:rPr>
              <w:object w:dxaOrig="260" w:dyaOrig="300">
                <v:shape id="_x0000_i1068" type="#_x0000_t75" style="width:9.8pt;height:10.95pt" o:ole="">
                  <v:imagedata r:id="rId35" o:title=""/>
                </v:shape>
                <o:OLEObject Type="Embed" ProgID="Equation.3" ShapeID="_x0000_i1068" DrawAspect="Content" ObjectID="_1452074719" r:id="rId36"/>
              </w:object>
            </w:r>
            <w:r>
              <w:rPr>
                <w:rFonts w:ascii="Book Antiqua" w:hAnsi="Book Antiqua"/>
                <w:sz w:val="20"/>
              </w:rPr>
              <w:t xml:space="preserve"> (inches)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i/>
                <w:sz w:val="20"/>
              </w:rPr>
              <w:t>R</w:t>
            </w:r>
            <w:r>
              <w:rPr>
                <w:rFonts w:ascii="Book Antiqua" w:hAnsi="Book Antiqua"/>
                <w:sz w:val="20"/>
              </w:rPr>
              <w:t xml:space="preserve"> (inches)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Hour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num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position w:val="-4"/>
                <w:sz w:val="20"/>
              </w:rPr>
              <w:object w:dxaOrig="260" w:dyaOrig="300">
                <v:shape id="_x0000_i1069" type="#_x0000_t75" style="width:9.8pt;height:10.95pt" o:ole="" o:bullet="t">
                  <v:imagedata r:id="rId35" o:title=""/>
                </v:shape>
                <o:OLEObject Type="Embed" ProgID="Equation.3" ShapeID="_x0000_i1069" DrawAspect="Content" ObjectID="_1452074720" r:id="rId37"/>
              </w:object>
            </w:r>
            <w:r>
              <w:rPr>
                <w:rFonts w:ascii="Book Antiqua" w:hAnsi="Book Antiqua"/>
                <w:sz w:val="20"/>
              </w:rPr>
              <w:t xml:space="preserve"> (inches)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i/>
                <w:sz w:val="20"/>
              </w:rPr>
              <w:t>R</w:t>
            </w:r>
            <w:r>
              <w:rPr>
                <w:rFonts w:ascii="Book Antiqua" w:hAnsi="Book Antiqua"/>
                <w:sz w:val="20"/>
              </w:rPr>
              <w:t xml:space="preserve"> (inches)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1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3.25</w:t>
            </w:r>
          </w:p>
        </w:tc>
        <w:tc>
          <w:tcPr>
            <w:tcW w:w="1161" w:type="dxa"/>
            <w:tcBorders>
              <w:top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0.71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13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3.11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0.85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3.10</w:t>
            </w:r>
          </w:p>
        </w:tc>
        <w:tc>
          <w:tcPr>
            <w:tcW w:w="1161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1.18</w:t>
            </w:r>
          </w:p>
        </w:tc>
        <w:tc>
          <w:tcPr>
            <w:tcW w:w="1161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14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2.83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1.31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3.22</w:t>
            </w:r>
          </w:p>
        </w:tc>
        <w:tc>
          <w:tcPr>
            <w:tcW w:w="1161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1.43</w:t>
            </w:r>
          </w:p>
        </w:tc>
        <w:tc>
          <w:tcPr>
            <w:tcW w:w="1161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15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3.12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1.06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3.39</w:t>
            </w:r>
          </w:p>
        </w:tc>
        <w:tc>
          <w:tcPr>
            <w:tcW w:w="1161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1.26</w:t>
            </w:r>
          </w:p>
        </w:tc>
        <w:tc>
          <w:tcPr>
            <w:tcW w:w="1161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16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2.84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0.50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3.07</w:t>
            </w:r>
          </w:p>
        </w:tc>
        <w:tc>
          <w:tcPr>
            <w:tcW w:w="1161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1.17</w:t>
            </w:r>
          </w:p>
        </w:tc>
        <w:tc>
          <w:tcPr>
            <w:tcW w:w="1161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17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2.86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1.43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2.86</w:t>
            </w:r>
          </w:p>
        </w:tc>
        <w:tc>
          <w:tcPr>
            <w:tcW w:w="1161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0.32</w:t>
            </w:r>
          </w:p>
        </w:tc>
        <w:tc>
          <w:tcPr>
            <w:tcW w:w="1161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18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2.74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1.29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3.05</w:t>
            </w:r>
          </w:p>
        </w:tc>
        <w:tc>
          <w:tcPr>
            <w:tcW w:w="1161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0.53</w:t>
            </w:r>
          </w:p>
        </w:tc>
        <w:tc>
          <w:tcPr>
            <w:tcW w:w="1161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19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3.41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1.61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8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2.65</w:t>
            </w:r>
          </w:p>
        </w:tc>
        <w:tc>
          <w:tcPr>
            <w:tcW w:w="1161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1.13</w:t>
            </w:r>
          </w:p>
        </w:tc>
        <w:tc>
          <w:tcPr>
            <w:tcW w:w="1161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20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2.89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1.09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3.02</w:t>
            </w:r>
          </w:p>
        </w:tc>
        <w:tc>
          <w:tcPr>
            <w:tcW w:w="1161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0.71</w:t>
            </w:r>
          </w:p>
        </w:tc>
        <w:tc>
          <w:tcPr>
            <w:tcW w:w="1161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21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2.65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1.08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2.85</w:t>
            </w:r>
          </w:p>
        </w:tc>
        <w:tc>
          <w:tcPr>
            <w:tcW w:w="1161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1.33</w:t>
            </w:r>
          </w:p>
        </w:tc>
        <w:tc>
          <w:tcPr>
            <w:tcW w:w="1161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22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3.28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0.46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11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2.83</w:t>
            </w:r>
          </w:p>
        </w:tc>
        <w:tc>
          <w:tcPr>
            <w:tcW w:w="1161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1.17</w:t>
            </w:r>
          </w:p>
        </w:tc>
        <w:tc>
          <w:tcPr>
            <w:tcW w:w="1161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23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2.94</w:t>
            </w:r>
          </w:p>
        </w:tc>
        <w:tc>
          <w:tcPr>
            <w:tcW w:w="1161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1.58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1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12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2.97</w:t>
            </w:r>
          </w:p>
        </w:tc>
        <w:tc>
          <w:tcPr>
            <w:tcW w:w="1161" w:type="dxa"/>
            <w:tcBorders>
              <w:bottom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0.40</w:t>
            </w:r>
          </w:p>
        </w:tc>
        <w:tc>
          <w:tcPr>
            <w:tcW w:w="1161" w:type="dxa"/>
            <w:tcBorders>
              <w:left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24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2.64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0.97</w:t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>Develop appropriate control charts and determine whether there is any cause for concern in the cutting process. Plot the information and look for patterns.</w:t>
      </w: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First, we’ll compute the upper and lower limits for both an </w:t>
      </w:r>
      <w:r>
        <w:rPr>
          <w:rFonts w:ascii="Book Antiqua" w:hAnsi="Book Antiqua"/>
          <w:position w:val="-4"/>
        </w:rPr>
        <w:object w:dxaOrig="260" w:dyaOrig="300">
          <v:shape id="_x0000_i1070" type="#_x0000_t75" style="width:13.25pt;height:15pt" o:ole="">
            <v:imagedata r:id="rId38" o:title=""/>
          </v:shape>
          <o:OLEObject Type="Embed" ProgID="Equation.3" ShapeID="_x0000_i1070" DrawAspect="Content" ObjectID="_1452074721" r:id="rId39"/>
        </w:object>
      </w:r>
      <w:r>
        <w:rPr>
          <w:rFonts w:ascii="Book Antiqua" w:hAnsi="Book Antiqua"/>
        </w:rPr>
        <w:t xml:space="preserve"> chart and an </w:t>
      </w:r>
      <w:r>
        <w:rPr>
          <w:rFonts w:ascii="Book Antiqua" w:hAnsi="Book Antiqua"/>
          <w:i/>
        </w:rPr>
        <w:t>R</w:t>
      </w:r>
      <w:r>
        <w:rPr>
          <w:rFonts w:ascii="Book Antiqua" w:hAnsi="Book Antiqua"/>
        </w:rPr>
        <w:t xml:space="preserve"> chart. For the mean chart, note that </w:t>
      </w:r>
      <w:r>
        <w:rPr>
          <w:rFonts w:ascii="Book Antiqua" w:hAnsi="Book Antiqua"/>
          <w:position w:val="-6"/>
        </w:rPr>
        <w:object w:dxaOrig="1040" w:dyaOrig="360">
          <v:shape id="_x0000_i1071" type="#_x0000_t75" style="width:51.85pt;height:17.85pt" o:ole="">
            <v:imagedata r:id="rId40" o:title=""/>
          </v:shape>
          <o:OLEObject Type="Embed" ProgID="Equation.3" ShapeID="_x0000_i1071" DrawAspect="Content" ObjectID="_1452074722" r:id="rId41"/>
        </w:object>
      </w:r>
      <w:r>
        <w:rPr>
          <w:rFonts w:ascii="Book Antiqua" w:hAnsi="Book Antiqua"/>
        </w:rPr>
        <w:t xml:space="preserve"> and </w:t>
      </w:r>
      <w:r>
        <w:rPr>
          <w:rFonts w:ascii="Book Antiqua" w:hAnsi="Book Antiqua"/>
          <w:position w:val="-6"/>
        </w:rPr>
        <w:object w:dxaOrig="1020" w:dyaOrig="320">
          <v:shape id="_x0000_i1072" type="#_x0000_t75" style="width:51.25pt;height:16.15pt" o:ole="">
            <v:imagedata r:id="rId42" o:title=""/>
          </v:shape>
          <o:OLEObject Type="Embed" ProgID="Equation.3" ShapeID="_x0000_i1072" DrawAspect="Content" ObjectID="_1452074723" r:id="rId43"/>
        </w:object>
      </w:r>
      <w:r>
        <w:rPr>
          <w:rFonts w:ascii="Book Antiqua" w:hAnsi="Book Antiqua"/>
        </w:rPr>
        <w:t>: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282"/>
        <w:gridCol w:w="2476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920" w:dyaOrig="360">
                <v:shape id="_x0000_i1073" type="#_x0000_t75" style="width:46.1pt;height:17.85pt" o:ole="">
                  <v:imagedata r:id="rId13" o:title=""/>
                </v:shape>
                <o:OLEObject Type="Embed" ProgID="Equation.3" ShapeID="_x0000_i1073" DrawAspect="Content" ObjectID="_1452074724" r:id="rId44"/>
              </w:object>
            </w:r>
          </w:p>
        </w:tc>
        <w:tc>
          <w:tcPr>
            <w:tcW w:w="1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2260" w:dyaOrig="320">
                <v:shape id="_x0000_i1074" type="#_x0000_t75" style="width:112.9pt;height:16.15pt" o:ole="">
                  <v:imagedata r:id="rId45" o:title=""/>
                </v:shape>
                <o:OLEObject Type="Embed" ProgID="Equation.3" ShapeID="_x0000_i1074" DrawAspect="Content" ObjectID="_1452074725" r:id="rId46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1560" w:dyaOrig="279">
                <v:shape id="_x0000_i1075" type="#_x0000_t75" style="width:77.75pt;height:13.8pt" o:ole="">
                  <v:imagedata r:id="rId47" o:title=""/>
                </v:shape>
                <o:OLEObject Type="Embed" ProgID="Equation.3" ShapeID="_x0000_i1075" DrawAspect="Content" ObjectID="_1452074726" r:id="rId48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Or</w:t>
            </w:r>
          </w:p>
        </w:tc>
        <w:tc>
          <w:tcPr>
            <w:tcW w:w="1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(2.236, 3.728)</w:t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br w:type="page"/>
      </w:r>
      <w:r>
        <w:rPr>
          <w:rFonts w:ascii="Book Antiqua" w:hAnsi="Book Antiqua"/>
        </w:rPr>
        <w:lastRenderedPageBreak/>
        <w:t>For the range chart: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861"/>
        <w:gridCol w:w="1296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61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499" w:dyaOrig="279">
                <v:shape id="_x0000_i1076" type="#_x0000_t75" style="width:24.75pt;height:13.8pt" o:ole="">
                  <v:imagedata r:id="rId19" o:title=""/>
                </v:shape>
                <o:OLEObject Type="Embed" ProgID="Equation.3" ShapeID="_x0000_i1076" DrawAspect="Content" ObjectID="_1452074727" r:id="rId49"/>
              </w:object>
            </w:r>
          </w:p>
        </w:tc>
        <w:tc>
          <w:tcPr>
            <w:tcW w:w="10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2"/>
              </w:rPr>
              <w:object w:dxaOrig="720" w:dyaOrig="380">
                <v:shape id="_x0000_i1077" type="#_x0000_t75" style="width:36.3pt;height:19pt" o:ole="">
                  <v:imagedata r:id="rId21" o:title=""/>
                </v:shape>
                <o:OLEObject Type="Embed" ProgID="Equation.3" ShapeID="_x0000_i1077" DrawAspect="Content" ObjectID="_1452074728" r:id="rId50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61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0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1080" w:dyaOrig="320">
                <v:shape id="_x0000_i1078" type="#_x0000_t75" style="width:54.15pt;height:16.15pt" o:ole="">
                  <v:imagedata r:id="rId51" o:title=""/>
                </v:shape>
                <o:OLEObject Type="Embed" ProgID="Equation.3" ShapeID="_x0000_i1078" DrawAspect="Content" ObjectID="_1452074729" r:id="rId52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61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0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380" w:dyaOrig="279">
                <v:shape id="_x0000_i1079" type="#_x0000_t75" style="width:19pt;height:13.8pt" o:ole="">
                  <v:imagedata r:id="rId25" o:title=""/>
                </v:shape>
                <o:OLEObject Type="Embed" ProgID="Equation.3" ShapeID="_x0000_i1079" DrawAspect="Content" ObjectID="_1452074730" r:id="rId53"/>
              </w:object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902"/>
        <w:gridCol w:w="1716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540" w:dyaOrig="279">
                <v:shape id="_x0000_i1080" type="#_x0000_t75" style="width:27.05pt;height:13.8pt" o:ole="">
                  <v:imagedata r:id="rId27" o:title=""/>
                </v:shape>
                <o:OLEObject Type="Embed" ProgID="Equation.3" ShapeID="_x0000_i1080" DrawAspect="Content" ObjectID="_1452074731" r:id="rId54"/>
              </w:object>
            </w:r>
          </w:p>
        </w:tc>
        <w:tc>
          <w:tcPr>
            <w:tcW w:w="144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720" w:dyaOrig="360">
                <v:shape id="_x0000_i1081" type="#_x0000_t75" style="width:36.3pt;height:17.85pt" o:ole="">
                  <v:imagedata r:id="rId29" o:title=""/>
                </v:shape>
                <o:OLEObject Type="Embed" ProgID="Equation.3" ShapeID="_x0000_i1081" DrawAspect="Content" ObjectID="_1452074732" r:id="rId55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44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1500" w:dyaOrig="320">
                <v:shape id="_x0000_i1082" type="#_x0000_t75" style="width:74.9pt;height:16.15pt" o:ole="">
                  <v:imagedata r:id="rId56" o:title=""/>
                </v:shape>
                <o:OLEObject Type="Embed" ProgID="Equation.3" ShapeID="_x0000_i1082" DrawAspect="Content" ObjectID="_1452074733" r:id="rId57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44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800" w:dyaOrig="279">
                <v:shape id="_x0000_i1083" type="#_x0000_t75" style="width:39.75pt;height:13.8pt" o:ole="">
                  <v:imagedata r:id="rId58" o:title=""/>
                </v:shape>
                <o:OLEObject Type="Embed" ProgID="Equation.3" ShapeID="_x0000_i1083" DrawAspect="Content" ObjectID="_1452074734" r:id="rId59"/>
              </w:object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>Now, we plot the charts: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4596"/>
        <w:gridCol w:w="4596"/>
      </w:tblGrid>
      <w:tr w:rsidR="003441EE" w:rsidTr="00830E1E">
        <w:tblPrEx>
          <w:tblCellMar>
            <w:top w:w="0" w:type="dxa"/>
            <w:bottom w:w="0" w:type="dxa"/>
          </w:tblCellMar>
        </w:tblPrEx>
        <w:tc>
          <w:tcPr>
            <w:tcW w:w="442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noProof/>
              </w:rPr>
              <w:drawing>
                <wp:inline distT="0" distB="0" distL="0" distR="0">
                  <wp:extent cx="2743200" cy="1967865"/>
                  <wp:effectExtent l="19050" t="19050" r="19050" b="1333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67865"/>
                          </a:xfrm>
                          <a:prstGeom prst="rect">
                            <a:avLst/>
                          </a:prstGeom>
                          <a:noFill/>
                          <a:ln w="63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noProof/>
              </w:rPr>
              <w:drawing>
                <wp:inline distT="0" distB="0" distL="0" distR="0">
                  <wp:extent cx="2743200" cy="1967865"/>
                  <wp:effectExtent l="19050" t="19050" r="19050" b="1333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67865"/>
                          </a:xfrm>
                          <a:prstGeom prst="rect">
                            <a:avLst/>
                          </a:prstGeom>
                          <a:noFill/>
                          <a:ln w="63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>Based on our rules for interpreting control charts, this process can be assumed to be in control.</w:t>
      </w: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br w:type="page"/>
      </w:r>
      <w:r>
        <w:rPr>
          <w:rFonts w:ascii="Book Antiqua" w:hAnsi="Book Antiqua"/>
        </w:rPr>
        <w:lastRenderedPageBreak/>
        <w:t xml:space="preserve">4. Small boxes of NutraFlakes cereal are labeled “net weight 10 ounces.” Each hour, random samples of size </w:t>
      </w:r>
      <w:r>
        <w:rPr>
          <w:rFonts w:ascii="Book Antiqua" w:hAnsi="Book Antiqua"/>
          <w:i/>
        </w:rPr>
        <w:t>n</w:t>
      </w:r>
      <w:r>
        <w:rPr>
          <w:rFonts w:ascii="Book Antiqua" w:hAnsi="Book Antiqua"/>
        </w:rPr>
        <w:t xml:space="preserve"> = 4 boxes are weighed to check process control. Five hours of observations yielded the following data: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964"/>
        <w:gridCol w:w="822"/>
        <w:gridCol w:w="822"/>
        <w:gridCol w:w="822"/>
        <w:gridCol w:w="822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64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rPr>
                <w:rFonts w:ascii="Book Antiqua" w:hAnsi="Book Antiqua"/>
                <w:b/>
                <w:bCs/>
                <w:sz w:val="20"/>
              </w:rPr>
            </w:pPr>
          </w:p>
        </w:tc>
        <w:tc>
          <w:tcPr>
            <w:tcW w:w="3288" w:type="dxa"/>
            <w:gridSpan w:val="4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</w:rPr>
            </w:pPr>
            <w:r>
              <w:rPr>
                <w:rFonts w:ascii="Book Antiqua" w:hAnsi="Book Antiqua"/>
                <w:b/>
                <w:bCs/>
                <w:sz w:val="20"/>
              </w:rPr>
              <w:t>Weights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64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rPr>
                <w:rFonts w:ascii="Book Antiqua" w:hAnsi="Book Antiqua"/>
                <w:b/>
                <w:bCs/>
                <w:sz w:val="20"/>
              </w:rPr>
            </w:pPr>
            <w:r>
              <w:rPr>
                <w:rFonts w:ascii="Book Antiqua" w:hAnsi="Book Antiqua"/>
                <w:b/>
                <w:bCs/>
                <w:sz w:val="20"/>
              </w:rPr>
              <w:t>Time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</w:rPr>
            </w:pPr>
            <w:r>
              <w:rPr>
                <w:rFonts w:ascii="Book Antiqua" w:hAnsi="Book Antiqua"/>
                <w:b/>
                <w:bCs/>
                <w:sz w:val="20"/>
              </w:rPr>
              <w:t>Box 1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</w:rPr>
            </w:pPr>
            <w:r>
              <w:rPr>
                <w:rFonts w:ascii="Book Antiqua" w:hAnsi="Book Antiqua"/>
                <w:b/>
                <w:bCs/>
                <w:sz w:val="20"/>
              </w:rPr>
              <w:t>Box 2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</w:rPr>
            </w:pPr>
            <w:r>
              <w:rPr>
                <w:rFonts w:ascii="Book Antiqua" w:hAnsi="Book Antiqua"/>
                <w:b/>
                <w:bCs/>
                <w:sz w:val="20"/>
              </w:rPr>
              <w:t>Box 3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</w:rPr>
            </w:pPr>
            <w:r>
              <w:rPr>
                <w:rFonts w:ascii="Book Antiqua" w:hAnsi="Book Antiqua"/>
                <w:b/>
                <w:bCs/>
                <w:sz w:val="20"/>
              </w:rPr>
              <w:t>Box 4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64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 a.m.</w:t>
            </w:r>
          </w:p>
        </w:tc>
        <w:tc>
          <w:tcPr>
            <w:tcW w:w="822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9.8</w:t>
            </w:r>
          </w:p>
        </w:tc>
        <w:tc>
          <w:tcPr>
            <w:tcW w:w="822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10.4</w:t>
            </w:r>
          </w:p>
        </w:tc>
        <w:tc>
          <w:tcPr>
            <w:tcW w:w="822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9.9</w:t>
            </w:r>
          </w:p>
        </w:tc>
        <w:tc>
          <w:tcPr>
            <w:tcW w:w="822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10.3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64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 a.m.</w:t>
            </w:r>
          </w:p>
        </w:tc>
        <w:tc>
          <w:tcPr>
            <w:tcW w:w="82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10.1</w:t>
            </w:r>
          </w:p>
        </w:tc>
        <w:tc>
          <w:tcPr>
            <w:tcW w:w="82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10.2</w:t>
            </w:r>
          </w:p>
        </w:tc>
        <w:tc>
          <w:tcPr>
            <w:tcW w:w="82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9.9</w:t>
            </w:r>
          </w:p>
        </w:tc>
        <w:tc>
          <w:tcPr>
            <w:tcW w:w="82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9.8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64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11 a.m.</w:t>
            </w:r>
          </w:p>
        </w:tc>
        <w:tc>
          <w:tcPr>
            <w:tcW w:w="82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9.9</w:t>
            </w:r>
          </w:p>
        </w:tc>
        <w:tc>
          <w:tcPr>
            <w:tcW w:w="82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10.5</w:t>
            </w:r>
          </w:p>
        </w:tc>
        <w:tc>
          <w:tcPr>
            <w:tcW w:w="82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10.3</w:t>
            </w:r>
          </w:p>
        </w:tc>
        <w:tc>
          <w:tcPr>
            <w:tcW w:w="82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10.1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64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12 a.m.</w:t>
            </w:r>
          </w:p>
        </w:tc>
        <w:tc>
          <w:tcPr>
            <w:tcW w:w="82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9.7</w:t>
            </w:r>
          </w:p>
        </w:tc>
        <w:tc>
          <w:tcPr>
            <w:tcW w:w="82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9.8</w:t>
            </w:r>
          </w:p>
        </w:tc>
        <w:tc>
          <w:tcPr>
            <w:tcW w:w="82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10.3</w:t>
            </w:r>
          </w:p>
        </w:tc>
        <w:tc>
          <w:tcPr>
            <w:tcW w:w="822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10.2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64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 p.m.</w:t>
            </w:r>
          </w:p>
        </w:tc>
        <w:tc>
          <w:tcPr>
            <w:tcW w:w="822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9.7</w:t>
            </w:r>
          </w:p>
        </w:tc>
        <w:tc>
          <w:tcPr>
            <w:tcW w:w="822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10.1</w:t>
            </w:r>
          </w:p>
        </w:tc>
        <w:tc>
          <w:tcPr>
            <w:tcW w:w="822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9.9</w:t>
            </w:r>
          </w:p>
        </w:tc>
        <w:tc>
          <w:tcPr>
            <w:tcW w:w="822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9.9</w:t>
            </w:r>
          </w:p>
        </w:tc>
      </w:tr>
    </w:tbl>
    <w:p w:rsidR="003441EE" w:rsidRDefault="003441EE" w:rsidP="003441EE">
      <w:pPr>
        <w:pStyle w:val="p13"/>
        <w:widowControl/>
        <w:numPr>
          <w:ilvl w:val="0"/>
          <w:numId w:val="7"/>
        </w:numPr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Using these data, construct limits for </w:t>
      </w:r>
      <w:r>
        <w:rPr>
          <w:rFonts w:ascii="Book Antiqua" w:hAnsi="Book Antiqua"/>
          <w:position w:val="-4"/>
        </w:rPr>
        <w:object w:dxaOrig="260" w:dyaOrig="300">
          <v:shape id="_x0000_i1086" type="#_x0000_t75" style="width:13.25pt;height:15pt" o:ole="">
            <v:imagedata r:id="rId62" o:title=""/>
          </v:shape>
          <o:OLEObject Type="Embed" ProgID="Equation.3" ShapeID="_x0000_i1086" DrawAspect="Content" ObjectID="_1452074735" r:id="rId63"/>
        </w:object>
      </w:r>
      <w:r>
        <w:rPr>
          <w:rFonts w:ascii="Book Antiqua" w:hAnsi="Book Antiqua"/>
        </w:rPr>
        <w:t xml:space="preserve"> and </w:t>
      </w:r>
      <w:r>
        <w:rPr>
          <w:rFonts w:ascii="Book Antiqua" w:hAnsi="Book Antiqua"/>
          <w:i/>
        </w:rPr>
        <w:t>R</w:t>
      </w:r>
      <w:r>
        <w:rPr>
          <w:rFonts w:ascii="Book Antiqua" w:hAnsi="Book Antiqua"/>
        </w:rPr>
        <w:t xml:space="preserve"> charts.</w:t>
      </w: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We note that </w:t>
      </w:r>
      <w:r>
        <w:rPr>
          <w:rFonts w:ascii="Book Antiqua" w:hAnsi="Book Antiqua"/>
          <w:position w:val="-6"/>
        </w:rPr>
        <w:object w:dxaOrig="1040" w:dyaOrig="360">
          <v:shape id="_x0000_i1087" type="#_x0000_t75" style="width:51.85pt;height:17.85pt" o:ole="">
            <v:imagedata r:id="rId64" o:title=""/>
          </v:shape>
          <o:OLEObject Type="Embed" ProgID="Equation.3" ShapeID="_x0000_i1087" DrawAspect="Content" ObjectID="_1452074736" r:id="rId65"/>
        </w:object>
      </w:r>
      <w:r>
        <w:rPr>
          <w:rFonts w:ascii="Book Antiqua" w:hAnsi="Book Antiqua"/>
        </w:rPr>
        <w:t xml:space="preserve"> and </w:t>
      </w:r>
      <w:r>
        <w:rPr>
          <w:rFonts w:ascii="Book Antiqua" w:hAnsi="Book Antiqua"/>
          <w:position w:val="-6"/>
        </w:rPr>
        <w:object w:dxaOrig="900" w:dyaOrig="320">
          <v:shape id="_x0000_i1088" type="#_x0000_t75" style="width:44.95pt;height:16.15pt" o:ole="">
            <v:imagedata r:id="rId66" o:title=""/>
          </v:shape>
          <o:OLEObject Type="Embed" ProgID="Equation.3" ShapeID="_x0000_i1088" DrawAspect="Content" ObjectID="_1452074737" r:id="rId67"/>
        </w:object>
      </w:r>
      <w:r>
        <w:rPr>
          <w:rFonts w:ascii="Book Antiqua" w:hAnsi="Book Antiqua"/>
        </w:rPr>
        <w:t>. For the mean chart: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282"/>
        <w:gridCol w:w="2336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980" w:dyaOrig="420">
                <v:shape id="_x0000_i1089" type="#_x0000_t75" style="width:48.95pt;height:20.75pt" o:ole="">
                  <v:imagedata r:id="rId68" o:title=""/>
                </v:shape>
                <o:OLEObject Type="Embed" ProgID="Equation.3" ShapeID="_x0000_i1089" DrawAspect="Content" ObjectID="_1452074738" r:id="rId69"/>
              </w:object>
            </w:r>
          </w:p>
        </w:tc>
        <w:tc>
          <w:tcPr>
            <w:tcW w:w="1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2120" w:dyaOrig="320">
                <v:shape id="_x0000_i1090" type="#_x0000_t75" style="width:106pt;height:16.15pt" o:ole="">
                  <v:imagedata r:id="rId70" o:title=""/>
                </v:shape>
                <o:OLEObject Type="Embed" ProgID="Equation.3" ShapeID="_x0000_i1090" DrawAspect="Content" ObjectID="_1452074739" r:id="rId71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1440" w:dyaOrig="279">
                <v:shape id="_x0000_i1091" type="#_x0000_t75" style="width:1in;height:13.8pt" o:ole="">
                  <v:imagedata r:id="rId72" o:title=""/>
                </v:shape>
                <o:OLEObject Type="Embed" ProgID="Equation.3" ShapeID="_x0000_i1091" DrawAspect="Content" ObjectID="_1452074740" r:id="rId73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8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Or</w:t>
            </w:r>
          </w:p>
        </w:tc>
        <w:tc>
          <w:tcPr>
            <w:tcW w:w="1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(9.66, 10.42)</w:t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>For the range chart: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861"/>
        <w:gridCol w:w="1442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61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499" w:dyaOrig="279">
                <v:shape id="_x0000_i1092" type="#_x0000_t75" style="width:24.75pt;height:13.8pt" o:ole="">
                  <v:imagedata r:id="rId19" o:title=""/>
                </v:shape>
                <o:OLEObject Type="Embed" ProgID="Equation.3" ShapeID="_x0000_i1092" DrawAspect="Content" ObjectID="_1452074741" r:id="rId74"/>
              </w:object>
            </w:r>
          </w:p>
        </w:tc>
        <w:tc>
          <w:tcPr>
            <w:tcW w:w="144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2"/>
              </w:rPr>
              <w:object w:dxaOrig="720" w:dyaOrig="380">
                <v:shape id="_x0000_i1093" type="#_x0000_t75" style="width:36.3pt;height:19pt" o:ole="">
                  <v:imagedata r:id="rId21" o:title=""/>
                </v:shape>
                <o:OLEObject Type="Embed" ProgID="Equation.3" ShapeID="_x0000_i1093" DrawAspect="Content" ObjectID="_1452074742" r:id="rId75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61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44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1080" w:dyaOrig="320">
                <v:shape id="_x0000_i1094" type="#_x0000_t75" style="width:54.15pt;height:16.15pt" o:ole="">
                  <v:imagedata r:id="rId76" o:title=""/>
                </v:shape>
                <o:OLEObject Type="Embed" ProgID="Equation.3" ShapeID="_x0000_i1094" DrawAspect="Content" ObjectID="_1452074743" r:id="rId77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61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44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380" w:dyaOrig="279">
                <v:shape id="_x0000_i1095" type="#_x0000_t75" style="width:19pt;height:13.8pt" o:ole="">
                  <v:imagedata r:id="rId25" o:title=""/>
                </v:shape>
                <o:OLEObject Type="Embed" ProgID="Equation.3" ShapeID="_x0000_i1095" DrawAspect="Content" ObjectID="_1452074744" r:id="rId78"/>
              </w:object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902"/>
        <w:gridCol w:w="1862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540" w:dyaOrig="279">
                <v:shape id="_x0000_i1096" type="#_x0000_t75" style="width:27.05pt;height:13.8pt" o:ole="">
                  <v:imagedata r:id="rId27" o:title=""/>
                </v:shape>
                <o:OLEObject Type="Embed" ProgID="Equation.3" ShapeID="_x0000_i1096" DrawAspect="Content" ObjectID="_1452074745" r:id="rId79"/>
              </w:object>
            </w:r>
          </w:p>
        </w:tc>
        <w:tc>
          <w:tcPr>
            <w:tcW w:w="186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720" w:dyaOrig="360">
                <v:shape id="_x0000_i1097" type="#_x0000_t75" style="width:36.3pt;height:17.85pt" o:ole="">
                  <v:imagedata r:id="rId29" o:title=""/>
                </v:shape>
                <o:OLEObject Type="Embed" ProgID="Equation.3" ShapeID="_x0000_i1097" DrawAspect="Content" ObjectID="_1452074746" r:id="rId80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86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10"/>
              </w:rPr>
              <w:object w:dxaOrig="1500" w:dyaOrig="320">
                <v:shape id="_x0000_i1098" type="#_x0000_t75" style="width:74.9pt;height:16.15pt" o:ole="">
                  <v:imagedata r:id="rId81" o:title=""/>
                </v:shape>
                <o:OLEObject Type="Embed" ProgID="Equation.3" ShapeID="_x0000_i1098" DrawAspect="Content" ObjectID="_1452074747" r:id="rId82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0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jc w:val="right"/>
              <w:rPr>
                <w:rFonts w:ascii="Book Antiqua" w:hAnsi="Book Antiqua"/>
              </w:rPr>
            </w:pPr>
          </w:p>
        </w:tc>
        <w:tc>
          <w:tcPr>
            <w:tcW w:w="1862" w:type="dxa"/>
            <w:vAlign w:val="center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rFonts w:ascii="Book Antiqua" w:hAnsi="Book Antiqua"/>
                <w:position w:val="-6"/>
              </w:rPr>
              <w:object w:dxaOrig="800" w:dyaOrig="279">
                <v:shape id="_x0000_i1099" type="#_x0000_t75" style="width:39.75pt;height:13.8pt" o:ole="">
                  <v:imagedata r:id="rId83" o:title=""/>
                </v:shape>
                <o:OLEObject Type="Embed" ProgID="Equation.3" ShapeID="_x0000_i1099" DrawAspect="Content" ObjectID="_1452074748" r:id="rId84"/>
              </w:object>
            </w:r>
          </w:p>
        </w:tc>
      </w:tr>
    </w:tbl>
    <w:p w:rsidR="003441EE" w:rsidRDefault="003441EE" w:rsidP="003441EE">
      <w:pPr>
        <w:pStyle w:val="p13"/>
        <w:widowControl/>
        <w:numPr>
          <w:ilvl w:val="0"/>
          <w:numId w:val="7"/>
        </w:numPr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>Is the process in control?</w:t>
      </w:r>
    </w:p>
    <w:tbl>
      <w:tblPr>
        <w:tblW w:w="9116" w:type="dxa"/>
        <w:tblLook w:val="0000" w:firstRow="0" w:lastRow="0" w:firstColumn="0" w:lastColumn="0" w:noHBand="0" w:noVBand="0"/>
      </w:tblPr>
      <w:tblGrid>
        <w:gridCol w:w="4596"/>
        <w:gridCol w:w="4596"/>
      </w:tblGrid>
      <w:tr w:rsidR="003441EE" w:rsidTr="00830E1E">
        <w:tblPrEx>
          <w:tblCellMar>
            <w:top w:w="0" w:type="dxa"/>
            <w:bottom w:w="0" w:type="dxa"/>
          </w:tblCellMar>
        </w:tblPrEx>
        <w:tc>
          <w:tcPr>
            <w:tcW w:w="455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noProof/>
              </w:rPr>
              <w:drawing>
                <wp:inline distT="0" distB="0" distL="0" distR="0">
                  <wp:extent cx="2743200" cy="1967865"/>
                  <wp:effectExtent l="19050" t="19050" r="19050" b="1333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67865"/>
                          </a:xfrm>
                          <a:prstGeom prst="rect">
                            <a:avLst/>
                          </a:prstGeom>
                          <a:noFill/>
                          <a:ln w="63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before="40" w:after="40" w:line="240" w:lineRule="auto"/>
              <w:rPr>
                <w:rFonts w:ascii="Book Antiqua" w:hAnsi="Book Antiqua"/>
              </w:rPr>
            </w:pPr>
            <w:r>
              <w:rPr>
                <w:noProof/>
              </w:rPr>
              <w:drawing>
                <wp:inline distT="0" distB="0" distL="0" distR="0">
                  <wp:extent cx="2743200" cy="1967865"/>
                  <wp:effectExtent l="19050" t="19050" r="19050" b="1333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967865"/>
                          </a:xfrm>
                          <a:prstGeom prst="rect">
                            <a:avLst/>
                          </a:prstGeom>
                          <a:noFill/>
                          <a:ln w="63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>The process appears to be in control.</w:t>
      </w:r>
    </w:p>
    <w:p w:rsidR="003441EE" w:rsidRDefault="003441EE" w:rsidP="003441EE">
      <w:pPr>
        <w:pStyle w:val="p13"/>
        <w:widowControl/>
        <w:numPr>
          <w:ilvl w:val="0"/>
          <w:numId w:val="7"/>
        </w:numPr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br w:type="page"/>
      </w:r>
      <w:r>
        <w:rPr>
          <w:rFonts w:ascii="Book Antiqua" w:hAnsi="Book Antiqua"/>
        </w:rPr>
        <w:lastRenderedPageBreak/>
        <w:t>What other steps should the quality department follow at this point?</w:t>
      </w: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>There aren’t really very much data here, nor are the sample sizes very large. We could increase the sample size and continue to monitor the charts over time.</w:t>
      </w: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</w:p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 xml:space="preserve">5. You are attempting to develop a quality monitoring system for some parts purchased from Warton &amp; Kotha Manufacturing Co. These parts are either good or defective. You have decided to take a sample of 100 units. Develop a table of the appropriate upper and lower control chart limits for various values of the fraction defective in the sample taken. The values for </w:t>
      </w:r>
      <w:r>
        <w:rPr>
          <w:rFonts w:ascii="Book Antiqua" w:hAnsi="Book Antiqua"/>
          <w:i/>
          <w:sz w:val="24"/>
        </w:rPr>
        <w:t>p</w:t>
      </w:r>
      <w:r>
        <w:rPr>
          <w:rFonts w:ascii="Book Antiqua" w:hAnsi="Book Antiqua"/>
          <w:sz w:val="24"/>
        </w:rPr>
        <w:t xml:space="preserve"> in this table should range from 0.02 to 0.10 in increments of 0.02. Develop the upper and lower control limits for a 99.73% confidence interval.</w:t>
      </w:r>
    </w:p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Here is how to calculate the limits for the first value of the proportion defective: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42"/>
        <w:gridCol w:w="2602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26"/>
                <w:sz w:val="24"/>
              </w:rPr>
              <w:object w:dxaOrig="1540" w:dyaOrig="700">
                <v:shape id="_x0000_i1102" type="#_x0000_t75" style="width:77.2pt;height:35.15pt" o:ole="">
                  <v:imagedata r:id="rId87" o:title=""/>
                </v:shape>
                <o:OLEObject Type="Embed" ProgID="Equation.3" ShapeID="_x0000_i1102" DrawAspect="Content" ObjectID="_1452074749" r:id="rId88"/>
              </w:object>
            </w: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26"/>
                <w:sz w:val="24"/>
              </w:rPr>
              <w:object w:dxaOrig="2240" w:dyaOrig="680">
                <v:shape id="_x0000_i1103" type="#_x0000_t75" style="width:116.35pt;height:35.15pt" o:ole="">
                  <v:imagedata r:id="rId89" o:title=""/>
                </v:shape>
                <o:OLEObject Type="Embed" ProgID="Equation.3" ShapeID="_x0000_i1103" DrawAspect="Content" ObjectID="_1452074750" r:id="rId90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10"/>
                <w:sz w:val="24"/>
              </w:rPr>
              <w:object w:dxaOrig="1820" w:dyaOrig="320">
                <v:shape id="_x0000_i1104" type="#_x0000_t75" style="width:91pt;height:16.15pt" o:ole="">
                  <v:imagedata r:id="rId91" o:title=""/>
                </v:shape>
                <o:OLEObject Type="Embed" ProgID="Equation.3" ShapeID="_x0000_i1104" DrawAspect="Content" ObjectID="_1452074751" r:id="rId92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6"/>
                <w:sz w:val="24"/>
              </w:rPr>
              <w:object w:dxaOrig="1560" w:dyaOrig="279">
                <v:shape id="_x0000_i1105" type="#_x0000_t75" style="width:77.75pt;height:13.8pt" o:ole="">
                  <v:imagedata r:id="rId93" o:title=""/>
                </v:shape>
                <o:OLEObject Type="Embed" ProgID="Equation.3" ShapeID="_x0000_i1105" DrawAspect="Content" ObjectID="_1452074752" r:id="rId94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sz w:val="24"/>
              </w:rPr>
              <w:t>Or</w:t>
            </w: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sz w:val="24"/>
              </w:rPr>
              <w:t>(0.0000, 0.0620)</w:t>
            </w:r>
          </w:p>
        </w:tc>
      </w:tr>
    </w:tbl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(Note that we have substituted zero for any negative number. In this case the lower control limit would have been –0.022.)</w:t>
      </w:r>
    </w:p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Here is the completed table of control limits: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688"/>
        <w:gridCol w:w="849"/>
        <w:gridCol w:w="850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88" w:type="dxa"/>
            <w:tcBorders>
              <w:bottom w:val="single" w:sz="4" w:space="0" w:color="auto"/>
            </w:tcBorders>
          </w:tcPr>
          <w:p w:rsidR="003441EE" w:rsidRDefault="003441EE" w:rsidP="00830E1E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1699" w:type="dxa"/>
            <w:gridSpan w:val="2"/>
            <w:tcBorders>
              <w:bottom w:val="single" w:sz="4" w:space="0" w:color="auto"/>
            </w:tcBorders>
          </w:tcPr>
          <w:p w:rsidR="003441EE" w:rsidRDefault="003441EE" w:rsidP="00830E1E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i/>
              </w:rPr>
              <w:t>n</w:t>
            </w:r>
            <w:r>
              <w:rPr>
                <w:rFonts w:ascii="Book Antiqua" w:hAnsi="Book Antiqua"/>
              </w:rPr>
              <w:t xml:space="preserve"> = 100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Book Antiqua" w:hAnsi="Book Antiqua"/>
                <w:i/>
              </w:rPr>
            </w:pPr>
            <w:r>
              <w:rPr>
                <w:rFonts w:ascii="Book Antiqua" w:hAnsi="Book Antiqua"/>
                <w:i/>
              </w:rPr>
              <w:t>p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UCL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LCL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8" w:type="dxa"/>
            <w:tcBorders>
              <w:top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0.02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0.0620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</w:tcPr>
          <w:p w:rsidR="003441EE" w:rsidRDefault="003441EE" w:rsidP="00830E1E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0.0000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8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0.04</w:t>
            </w:r>
          </w:p>
        </w:tc>
        <w:tc>
          <w:tcPr>
            <w:tcW w:w="849" w:type="dxa"/>
            <w:tcBorders>
              <w:left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0.0988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0.0000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8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0.06</w:t>
            </w:r>
          </w:p>
        </w:tc>
        <w:tc>
          <w:tcPr>
            <w:tcW w:w="849" w:type="dxa"/>
            <w:tcBorders>
              <w:left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0.1312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0.0000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8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0.08</w:t>
            </w:r>
          </w:p>
        </w:tc>
        <w:tc>
          <w:tcPr>
            <w:tcW w:w="849" w:type="dxa"/>
            <w:tcBorders>
              <w:left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0.1614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0.0000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8" w:type="dxa"/>
            <w:tcBorders>
              <w:bottom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0.10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0.1900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0.0100</w:t>
            </w:r>
          </w:p>
        </w:tc>
      </w:tr>
    </w:tbl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</w:p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  <w:r>
        <w:rPr>
          <w:rFonts w:ascii="Book Antiqua" w:hAnsi="Book Antiqua"/>
        </w:rPr>
        <w:br w:type="page"/>
      </w:r>
      <w:r>
        <w:rPr>
          <w:rFonts w:ascii="Book Antiqua" w:hAnsi="Book Antiqua"/>
          <w:sz w:val="24"/>
        </w:rPr>
        <w:lastRenderedPageBreak/>
        <w:t xml:space="preserve">6. In the past, the defect rate for your product has been 1.5%. What are the upper and lower control chart limits if you wish to use a sample size of 500 and </w:t>
      </w:r>
      <w:r>
        <w:rPr>
          <w:rFonts w:ascii="Book Antiqua" w:hAnsi="Book Antiqua"/>
          <w:i/>
          <w:sz w:val="24"/>
        </w:rPr>
        <w:t>z</w:t>
      </w:r>
      <w:r>
        <w:rPr>
          <w:rFonts w:ascii="Book Antiqua" w:hAnsi="Book Antiqua"/>
          <w:sz w:val="24"/>
        </w:rPr>
        <w:t xml:space="preserve"> = 3?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42"/>
        <w:gridCol w:w="2691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26"/>
                <w:sz w:val="24"/>
              </w:rPr>
              <w:object w:dxaOrig="1540" w:dyaOrig="700">
                <v:shape id="_x0000_i1106" type="#_x0000_t75" style="width:77.2pt;height:35.15pt" o:ole="">
                  <v:imagedata r:id="rId87" o:title=""/>
                </v:shape>
                <o:OLEObject Type="Embed" ProgID="Equation.3" ShapeID="_x0000_i1106" DrawAspect="Content" ObjectID="_1452074753" r:id="rId95"/>
              </w:object>
            </w: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26"/>
                <w:sz w:val="24"/>
              </w:rPr>
              <w:object w:dxaOrig="2580" w:dyaOrig="680">
                <v:shape id="_x0000_i1107" type="#_x0000_t75" style="width:123.85pt;height:32.25pt" o:ole="">
                  <v:imagedata r:id="rId96" o:title=""/>
                </v:shape>
                <o:OLEObject Type="Embed" ProgID="Equation.3" ShapeID="_x0000_i1107" DrawAspect="Content" ObjectID="_1452074754" r:id="rId97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10"/>
                <w:sz w:val="24"/>
              </w:rPr>
              <w:object w:dxaOrig="1939" w:dyaOrig="320">
                <v:shape id="_x0000_i1108" type="#_x0000_t75" style="width:96.75pt;height:16.15pt" o:ole="">
                  <v:imagedata r:id="rId98" o:title=""/>
                </v:shape>
                <o:OLEObject Type="Embed" ProgID="Equation.3" ShapeID="_x0000_i1108" DrawAspect="Content" ObjectID="_1452074755" r:id="rId99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6"/>
                <w:sz w:val="24"/>
              </w:rPr>
              <w:object w:dxaOrig="1660" w:dyaOrig="279">
                <v:shape id="_x0000_i1109" type="#_x0000_t75" style="width:82.95pt;height:13.8pt" o:ole="">
                  <v:imagedata r:id="rId100" o:title=""/>
                </v:shape>
                <o:OLEObject Type="Embed" ProgID="Equation.3" ShapeID="_x0000_i1109" DrawAspect="Content" ObjectID="_1452074756" r:id="rId101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sz w:val="24"/>
              </w:rPr>
              <w:t>Or</w:t>
            </w: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sz w:val="24"/>
              </w:rPr>
              <w:t>(0.000, 0.0313)</w:t>
            </w:r>
          </w:p>
        </w:tc>
      </w:tr>
    </w:tbl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</w:p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7. Refer to problem 6 above. If the defect rate were 3.5% instead of 1.5%, what would be the control limits?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42"/>
        <w:gridCol w:w="2778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26"/>
                <w:sz w:val="24"/>
              </w:rPr>
              <w:object w:dxaOrig="1540" w:dyaOrig="700">
                <v:shape id="_x0000_i1110" type="#_x0000_t75" style="width:77.2pt;height:35.15pt" o:ole="">
                  <v:imagedata r:id="rId87" o:title=""/>
                </v:shape>
                <o:OLEObject Type="Embed" ProgID="Equation.3" ShapeID="_x0000_i1110" DrawAspect="Content" ObjectID="_1452074757" r:id="rId102"/>
              </w:object>
            </w: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26"/>
                <w:sz w:val="24"/>
              </w:rPr>
              <w:object w:dxaOrig="2600" w:dyaOrig="680">
                <v:shape id="_x0000_i1111" type="#_x0000_t75" style="width:127.85pt;height:33.4pt" o:ole="">
                  <v:imagedata r:id="rId103" o:title=""/>
                </v:shape>
                <o:OLEObject Type="Embed" ProgID="Equation.3" ShapeID="_x0000_i1111" DrawAspect="Content" ObjectID="_1452074758" r:id="rId104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10"/>
                <w:sz w:val="24"/>
              </w:rPr>
              <w:object w:dxaOrig="1939" w:dyaOrig="320">
                <v:shape id="_x0000_i1112" type="#_x0000_t75" style="width:96.75pt;height:16.15pt" o:ole="">
                  <v:imagedata r:id="rId105" o:title=""/>
                </v:shape>
                <o:OLEObject Type="Embed" ProgID="Equation.3" ShapeID="_x0000_i1112" DrawAspect="Content" ObjectID="_1452074759" r:id="rId106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6"/>
                <w:sz w:val="24"/>
              </w:rPr>
              <w:object w:dxaOrig="1680" w:dyaOrig="279">
                <v:shape id="_x0000_i1113" type="#_x0000_t75" style="width:84.1pt;height:13.8pt" o:ole="">
                  <v:imagedata r:id="rId107" o:title=""/>
                </v:shape>
                <o:OLEObject Type="Embed" ProgID="Equation.3" ShapeID="_x0000_i1113" DrawAspect="Content" ObjectID="_1452074760" r:id="rId108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sz w:val="24"/>
              </w:rPr>
              <w:t>Or</w:t>
            </w: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sz w:val="24"/>
              </w:rPr>
              <w:t>(0.0103, 0.0597)</w:t>
            </w:r>
          </w:p>
        </w:tc>
      </w:tr>
    </w:tbl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</w:p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8. Refer to problems 6 and 7 above. Management would like to reduce the sample size to 100 units. If the past defect rate has been 3.5%, what would happen to the control limits (</w:t>
      </w:r>
      <w:r>
        <w:rPr>
          <w:rFonts w:ascii="Book Antiqua" w:hAnsi="Book Antiqua"/>
          <w:i/>
          <w:sz w:val="24"/>
        </w:rPr>
        <w:t>z</w:t>
      </w:r>
      <w:r>
        <w:rPr>
          <w:rFonts w:ascii="Book Antiqua" w:hAnsi="Book Antiqua"/>
          <w:sz w:val="24"/>
        </w:rPr>
        <w:t xml:space="preserve"> = 3)? Should this action be taken? Explain your answer.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42"/>
        <w:gridCol w:w="2758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26"/>
                <w:sz w:val="24"/>
              </w:rPr>
              <w:object w:dxaOrig="1540" w:dyaOrig="700">
                <v:shape id="_x0000_i1114" type="#_x0000_t75" style="width:77.2pt;height:35.15pt" o:ole="">
                  <v:imagedata r:id="rId87" o:title=""/>
                </v:shape>
                <o:OLEObject Type="Embed" ProgID="Equation.3" ShapeID="_x0000_i1114" DrawAspect="Content" ObjectID="_1452074761" r:id="rId109"/>
              </w:object>
            </w: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26"/>
                <w:sz w:val="24"/>
              </w:rPr>
              <w:object w:dxaOrig="2580" w:dyaOrig="680">
                <v:shape id="_x0000_i1115" type="#_x0000_t75" style="width:127.3pt;height:33.4pt" o:ole="">
                  <v:imagedata r:id="rId110" o:title=""/>
                </v:shape>
                <o:OLEObject Type="Embed" ProgID="Equation.3" ShapeID="_x0000_i1115" DrawAspect="Content" ObjectID="_1452074762" r:id="rId111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10"/>
                <w:sz w:val="24"/>
              </w:rPr>
              <w:object w:dxaOrig="1939" w:dyaOrig="320">
                <v:shape id="_x0000_i1116" type="#_x0000_t75" style="width:96.75pt;height:16.15pt" o:ole="">
                  <v:imagedata r:id="rId112" o:title=""/>
                </v:shape>
                <o:OLEObject Type="Embed" ProgID="Equation.3" ShapeID="_x0000_i1116" DrawAspect="Content" ObjectID="_1452074763" r:id="rId113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6"/>
                <w:sz w:val="24"/>
              </w:rPr>
              <w:object w:dxaOrig="1660" w:dyaOrig="279">
                <v:shape id="_x0000_i1117" type="#_x0000_t75" style="width:82.95pt;height:13.8pt" o:ole="">
                  <v:imagedata r:id="rId114" o:title=""/>
                </v:shape>
                <o:OLEObject Type="Embed" ProgID="Equation.3" ShapeID="_x0000_i1117" DrawAspect="Content" ObjectID="_1452074764" r:id="rId115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sz w:val="24"/>
              </w:rPr>
              <w:t>Or</w:t>
            </w:r>
          </w:p>
        </w:tc>
        <w:tc>
          <w:tcPr>
            <w:tcW w:w="26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sz w:val="24"/>
              </w:rPr>
              <w:t>(0.0000, 0.0901)</w:t>
            </w:r>
          </w:p>
        </w:tc>
      </w:tr>
    </w:tbl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This turns out to result in a rather large increase in the width of the control range (the upper limit increases by more than 50%). This may have a significant negative effect on quality, by increasing the risk of a Type II error.</w:t>
      </w:r>
    </w:p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</w:p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br w:type="page"/>
      </w:r>
      <w:r>
        <w:rPr>
          <w:rFonts w:ascii="Book Antiqua" w:hAnsi="Book Antiqua"/>
          <w:sz w:val="24"/>
        </w:rPr>
        <w:lastRenderedPageBreak/>
        <w:t>9. Blackburn, Inc., an equipment manufacturer in Nashville, has submitted a sample cutoff valve to improve your manufacturing process. Your process engineering department has conducted experiments and found that the valve has a mean (</w:t>
      </w:r>
      <w:r>
        <w:rPr>
          <w:rFonts w:ascii="Book Antiqua" w:hAnsi="Book Antiqua"/>
          <w:i/>
          <w:sz w:val="24"/>
        </w:rPr>
        <w:sym w:font="Symbol" w:char="F06D"/>
      </w:r>
      <w:r>
        <w:rPr>
          <w:rFonts w:ascii="Book Antiqua" w:hAnsi="Book Antiqua"/>
          <w:sz w:val="24"/>
        </w:rPr>
        <w:t>) of 8.00 and a standard deviation (</w:t>
      </w:r>
      <w:r>
        <w:rPr>
          <w:rFonts w:ascii="Book Antiqua" w:hAnsi="Book Antiqua"/>
          <w:i/>
          <w:sz w:val="24"/>
        </w:rPr>
        <w:sym w:font="Symbol" w:char="F073"/>
      </w:r>
      <w:r>
        <w:rPr>
          <w:rFonts w:ascii="Book Antiqua" w:hAnsi="Book Antiqua"/>
          <w:sz w:val="24"/>
        </w:rPr>
        <w:t xml:space="preserve">) of 0.04. Your desired performance is defined by the specification limits (7.865, 8.135). What is the </w:t>
      </w:r>
      <w:r>
        <w:rPr>
          <w:rFonts w:ascii="Book Antiqua" w:hAnsi="Book Antiqua"/>
          <w:i/>
          <w:sz w:val="24"/>
        </w:rPr>
        <w:t>C</w:t>
      </w:r>
      <w:r>
        <w:rPr>
          <w:rFonts w:ascii="Book Antiqua" w:hAnsi="Book Antiqua"/>
          <w:sz w:val="24"/>
          <w:vertAlign w:val="subscript"/>
        </w:rPr>
        <w:t>pk</w:t>
      </w:r>
      <w:r>
        <w:rPr>
          <w:rFonts w:ascii="Book Antiqua" w:hAnsi="Book Antiqua"/>
          <w:sz w:val="24"/>
        </w:rPr>
        <w:t xml:space="preserve"> of the Blackburn valve?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742"/>
        <w:gridCol w:w="3202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14"/>
                <w:sz w:val="24"/>
              </w:rPr>
              <w:object w:dxaOrig="380" w:dyaOrig="360">
                <v:shape id="_x0000_i1118" type="#_x0000_t75" style="width:19pt;height:17.85pt" o:ole="">
                  <v:imagedata r:id="rId116" o:title=""/>
                </v:shape>
                <o:OLEObject Type="Embed" ProgID="Equation.3" ShapeID="_x0000_i1118" DrawAspect="Content" ObjectID="_1452074765" r:id="rId117"/>
              </w:object>
            </w:r>
          </w:p>
        </w:tc>
        <w:tc>
          <w:tcPr>
            <w:tcW w:w="32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32"/>
                <w:sz w:val="24"/>
              </w:rPr>
              <w:object w:dxaOrig="2760" w:dyaOrig="760">
                <v:shape id="_x0000_i1119" type="#_x0000_t75" style="width:138.25pt;height:38pt" o:ole="">
                  <v:imagedata r:id="rId118" o:title=""/>
                </v:shape>
                <o:OLEObject Type="Embed" ProgID="Equation.3" ShapeID="_x0000_i1119" DrawAspect="Content" ObjectID="_1452074766" r:id="rId119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32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28"/>
                <w:sz w:val="24"/>
              </w:rPr>
              <w:object w:dxaOrig="2840" w:dyaOrig="680">
                <v:shape id="_x0000_i1120" type="#_x0000_t75" style="width:142.25pt;height:34pt" o:ole="">
                  <v:imagedata r:id="rId120" o:title=""/>
                </v:shape>
                <o:OLEObject Type="Embed" ProgID="Equation.3" ShapeID="_x0000_i1120" DrawAspect="Content" ObjectID="_1452074767" r:id="rId121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32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10"/>
                <w:sz w:val="24"/>
              </w:rPr>
              <w:object w:dxaOrig="1980" w:dyaOrig="320">
                <v:shape id="_x0000_i1121" type="#_x0000_t75" style="width:99.05pt;height:16.15pt" o:ole="">
                  <v:imagedata r:id="rId122" o:title=""/>
                </v:shape>
                <o:OLEObject Type="Embed" ProgID="Equation.3" ShapeID="_x0000_i1121" DrawAspect="Content" ObjectID="_1452074768" r:id="rId123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32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6"/>
                <w:sz w:val="24"/>
              </w:rPr>
              <w:object w:dxaOrig="800" w:dyaOrig="279">
                <v:shape id="_x0000_i1122" type="#_x0000_t75" style="width:39.75pt;height:13.8pt" o:ole="">
                  <v:imagedata r:id="rId124" o:title=""/>
                </v:shape>
                <o:OLEObject Type="Embed" ProgID="Equation.3" ShapeID="_x0000_i1122" DrawAspect="Content" ObjectID="_1452074769" r:id="rId125"/>
              </w:object>
            </w:r>
          </w:p>
        </w:tc>
      </w:tr>
    </w:tbl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This process is capable. It is centered between the specification limits, and its variability is sufficiently small that it will meet customer needs almost all of the time.</w:t>
      </w:r>
    </w:p>
    <w:p w:rsidR="003441EE" w:rsidRDefault="003441EE" w:rsidP="003441EE">
      <w:pPr>
        <w:spacing w:before="40" w:after="40"/>
        <w:rPr>
          <w:rFonts w:ascii="Book Antiqua" w:hAnsi="Book Antiqua"/>
          <w:sz w:val="24"/>
        </w:rPr>
      </w:pPr>
    </w:p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10. The manager of the Oat Flakes plant desires a quality specification with a mean of 16 ounces, an upper specification limit of 16.5, and a lower specification limit of 15.5. In this example, the process is known to have a population standard deviation of 1.0 ounces. Using the data below, in which weights are expressed in ounces, determine the standard deviation of the 12 weights and then determine the </w:t>
      </w:r>
      <w:r>
        <w:rPr>
          <w:rFonts w:ascii="Book Antiqua" w:hAnsi="Book Antiqua"/>
          <w:i/>
        </w:rPr>
        <w:t>C</w:t>
      </w:r>
      <w:r>
        <w:rPr>
          <w:rFonts w:ascii="Book Antiqua" w:hAnsi="Book Antiqua"/>
          <w:vertAlign w:val="subscript"/>
        </w:rPr>
        <w:t>pk</w:t>
      </w:r>
      <w:r>
        <w:rPr>
          <w:rFonts w:ascii="Book Antiqua" w:hAnsi="Book Antiqua"/>
        </w:rPr>
        <w:t xml:space="preserve"> of the process.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210"/>
        <w:gridCol w:w="1708"/>
        <w:gridCol w:w="1210"/>
        <w:gridCol w:w="1708"/>
        <w:gridCol w:w="1210"/>
        <w:gridCol w:w="1708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91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</w:rPr>
            </w:pPr>
            <w:r>
              <w:rPr>
                <w:rFonts w:ascii="Book Antiqua" w:hAnsi="Book Antiqua"/>
                <w:b/>
                <w:bCs/>
                <w:sz w:val="20"/>
              </w:rPr>
              <w:t>Weight of Sample</w:t>
            </w:r>
          </w:p>
        </w:tc>
        <w:tc>
          <w:tcPr>
            <w:tcW w:w="2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</w:rPr>
            </w:pPr>
            <w:r>
              <w:rPr>
                <w:rFonts w:ascii="Book Antiqua" w:hAnsi="Book Antiqua"/>
                <w:b/>
                <w:bCs/>
                <w:sz w:val="20"/>
              </w:rPr>
              <w:t>Weight of Sample</w:t>
            </w:r>
          </w:p>
        </w:tc>
        <w:tc>
          <w:tcPr>
            <w:tcW w:w="29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</w:rPr>
            </w:pPr>
            <w:r>
              <w:rPr>
                <w:rFonts w:ascii="Book Antiqua" w:hAnsi="Book Antiqua"/>
                <w:b/>
                <w:bCs/>
                <w:sz w:val="20"/>
              </w:rPr>
              <w:t>Weight of Sample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Hour</w:t>
            </w:r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Avg. of 9 Boxes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Hour</w:t>
            </w:r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Avg. of 9 Boxes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Hour</w:t>
            </w:r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Avg. of 9 Boxes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10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</w:t>
            </w:r>
          </w:p>
        </w:tc>
        <w:tc>
          <w:tcPr>
            <w:tcW w:w="1708" w:type="dxa"/>
            <w:tcBorders>
              <w:top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16.1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5</w:t>
            </w:r>
          </w:p>
        </w:tc>
        <w:tc>
          <w:tcPr>
            <w:tcW w:w="1708" w:type="dxa"/>
            <w:tcBorders>
              <w:top w:val="single" w:sz="4" w:space="0" w:color="auto"/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16.5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9</w:t>
            </w:r>
          </w:p>
        </w:tc>
        <w:tc>
          <w:tcPr>
            <w:tcW w:w="1708" w:type="dxa"/>
            <w:tcBorders>
              <w:top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16.3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10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</w:t>
            </w:r>
          </w:p>
        </w:tc>
        <w:tc>
          <w:tcPr>
            <w:tcW w:w="1708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16.8</w:t>
            </w:r>
          </w:p>
        </w:tc>
        <w:tc>
          <w:tcPr>
            <w:tcW w:w="1210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6</w:t>
            </w:r>
          </w:p>
        </w:tc>
        <w:tc>
          <w:tcPr>
            <w:tcW w:w="1708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16.4</w:t>
            </w:r>
          </w:p>
        </w:tc>
        <w:tc>
          <w:tcPr>
            <w:tcW w:w="1210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10</w:t>
            </w:r>
          </w:p>
        </w:tc>
        <w:tc>
          <w:tcPr>
            <w:tcW w:w="170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14.8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10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3</w:t>
            </w:r>
          </w:p>
        </w:tc>
        <w:tc>
          <w:tcPr>
            <w:tcW w:w="1708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15.5</w:t>
            </w:r>
          </w:p>
        </w:tc>
        <w:tc>
          <w:tcPr>
            <w:tcW w:w="1210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7</w:t>
            </w:r>
          </w:p>
        </w:tc>
        <w:tc>
          <w:tcPr>
            <w:tcW w:w="1708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15.2</w:t>
            </w:r>
          </w:p>
        </w:tc>
        <w:tc>
          <w:tcPr>
            <w:tcW w:w="1210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11</w:t>
            </w:r>
          </w:p>
        </w:tc>
        <w:tc>
          <w:tcPr>
            <w:tcW w:w="170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14.2</w: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10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</w:t>
            </w:r>
          </w:p>
        </w:tc>
        <w:tc>
          <w:tcPr>
            <w:tcW w:w="1708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16.5</w:t>
            </w:r>
          </w:p>
        </w:tc>
        <w:tc>
          <w:tcPr>
            <w:tcW w:w="1210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8</w:t>
            </w:r>
          </w:p>
        </w:tc>
        <w:tc>
          <w:tcPr>
            <w:tcW w:w="1708" w:type="dxa"/>
            <w:tcBorders>
              <w:righ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16.4</w:t>
            </w:r>
          </w:p>
        </w:tc>
        <w:tc>
          <w:tcPr>
            <w:tcW w:w="1210" w:type="dxa"/>
            <w:tcBorders>
              <w:left w:val="single" w:sz="4" w:space="0" w:color="auto"/>
            </w:tcBorders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12</w:t>
            </w:r>
          </w:p>
        </w:tc>
        <w:tc>
          <w:tcPr>
            <w:tcW w:w="1708" w:type="dxa"/>
          </w:tcPr>
          <w:p w:rsidR="003441EE" w:rsidRDefault="003441EE" w:rsidP="00830E1E">
            <w:pPr>
              <w:pStyle w:val="p13"/>
              <w:widowControl/>
              <w:tabs>
                <w:tab w:val="left" w:pos="720"/>
              </w:tabs>
              <w:spacing w:line="240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17.3</w:t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Note that </w:t>
      </w:r>
      <w:r>
        <w:rPr>
          <w:rFonts w:ascii="Book Antiqua" w:hAnsi="Book Antiqua"/>
          <w:position w:val="-6"/>
        </w:rPr>
        <w:object w:dxaOrig="1040" w:dyaOrig="360">
          <v:shape id="_x0000_i1123" type="#_x0000_t75" style="width:51.85pt;height:17.85pt" o:ole="">
            <v:imagedata r:id="rId126" o:title=""/>
          </v:shape>
          <o:OLEObject Type="Embed" ProgID="Equation.3" ShapeID="_x0000_i1123" DrawAspect="Content" ObjectID="_1452074770" r:id="rId127"/>
        </w:object>
      </w:r>
      <w:r>
        <w:rPr>
          <w:rFonts w:ascii="Book Antiqua" w:hAnsi="Book Antiqua"/>
        </w:rPr>
        <w:t xml:space="preserve">. 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742"/>
        <w:gridCol w:w="3416"/>
      </w:tblGrid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14"/>
                <w:sz w:val="24"/>
              </w:rPr>
              <w:object w:dxaOrig="380" w:dyaOrig="360">
                <v:shape id="_x0000_i1124" type="#_x0000_t75" style="width:19pt;height:17.85pt" o:ole="">
                  <v:imagedata r:id="rId116" o:title=""/>
                </v:shape>
                <o:OLEObject Type="Embed" ProgID="Equation.3" ShapeID="_x0000_i1124" DrawAspect="Content" ObjectID="_1452074771" r:id="rId128"/>
              </w:object>
            </w:r>
          </w:p>
        </w:tc>
        <w:tc>
          <w:tcPr>
            <w:tcW w:w="32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32"/>
                <w:sz w:val="24"/>
              </w:rPr>
              <w:object w:dxaOrig="2760" w:dyaOrig="760">
                <v:shape id="_x0000_i1125" type="#_x0000_t75" style="width:138.25pt;height:38pt" o:ole="">
                  <v:imagedata r:id="rId118" o:title=""/>
                </v:shape>
                <o:OLEObject Type="Embed" ProgID="Equation.3" ShapeID="_x0000_i1125" DrawAspect="Content" ObjectID="_1452074772" r:id="rId129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32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28"/>
                <w:sz w:val="24"/>
              </w:rPr>
              <w:object w:dxaOrig="3200" w:dyaOrig="680">
                <v:shape id="_x0000_i1126" type="#_x0000_t75" style="width:160.15pt;height:34pt" o:ole="">
                  <v:imagedata r:id="rId130" o:title=""/>
                </v:shape>
                <o:OLEObject Type="Embed" ProgID="Equation.3" ShapeID="_x0000_i1126" DrawAspect="Content" ObjectID="_1452074773" r:id="rId131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32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10"/>
                <w:sz w:val="24"/>
              </w:rPr>
              <w:object w:dxaOrig="2260" w:dyaOrig="320">
                <v:shape id="_x0000_i1127" type="#_x0000_t75" style="width:112.9pt;height:16.15pt" o:ole="">
                  <v:imagedata r:id="rId132" o:title=""/>
                </v:shape>
                <o:OLEObject Type="Embed" ProgID="Equation.3" ShapeID="_x0000_i1127" DrawAspect="Content" ObjectID="_1452074774" r:id="rId133"/>
              </w:object>
            </w:r>
          </w:p>
        </w:tc>
      </w:tr>
      <w:tr w:rsidR="003441EE" w:rsidTr="00830E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42" w:type="dxa"/>
            <w:vAlign w:val="center"/>
          </w:tcPr>
          <w:p w:rsidR="003441EE" w:rsidRDefault="003441EE" w:rsidP="00830E1E">
            <w:pPr>
              <w:spacing w:before="40" w:after="40"/>
              <w:jc w:val="right"/>
              <w:rPr>
                <w:rFonts w:ascii="Book Antiqua" w:hAnsi="Book Antiqua"/>
                <w:sz w:val="24"/>
              </w:rPr>
            </w:pPr>
          </w:p>
        </w:tc>
        <w:tc>
          <w:tcPr>
            <w:tcW w:w="3202" w:type="dxa"/>
            <w:vAlign w:val="center"/>
          </w:tcPr>
          <w:p w:rsidR="003441EE" w:rsidRDefault="003441EE" w:rsidP="00830E1E">
            <w:pPr>
              <w:spacing w:before="40" w:after="40"/>
              <w:rPr>
                <w:rFonts w:ascii="Book Antiqua" w:hAnsi="Book Antiqua"/>
                <w:sz w:val="24"/>
              </w:rPr>
            </w:pPr>
            <w:r>
              <w:rPr>
                <w:rFonts w:ascii="Book Antiqua" w:hAnsi="Book Antiqua"/>
                <w:position w:val="-6"/>
                <w:sz w:val="24"/>
              </w:rPr>
              <w:object w:dxaOrig="920" w:dyaOrig="279">
                <v:shape id="_x0000_i1128" type="#_x0000_t75" style="width:46.1pt;height:13.8pt" o:ole="">
                  <v:imagedata r:id="rId134" o:title=""/>
                </v:shape>
                <o:OLEObject Type="Embed" ProgID="Equation.3" ShapeID="_x0000_i1128" DrawAspect="Content" ObjectID="_1452074775" r:id="rId135"/>
              </w:object>
            </w:r>
          </w:p>
        </w:tc>
      </w:tr>
    </w:tbl>
    <w:p w:rsidR="003441EE" w:rsidRDefault="003441EE" w:rsidP="003441EE">
      <w:pPr>
        <w:pStyle w:val="p13"/>
        <w:widowControl/>
        <w:tabs>
          <w:tab w:val="left" w:pos="720"/>
        </w:tabs>
        <w:spacing w:before="40" w:after="40" w:line="240" w:lineRule="auto"/>
        <w:rPr>
          <w:rFonts w:ascii="Book Antiqua" w:hAnsi="Book Antiqua"/>
        </w:rPr>
      </w:pPr>
      <w:r>
        <w:rPr>
          <w:rFonts w:ascii="Book Antiqua" w:hAnsi="Book Antiqua"/>
        </w:rPr>
        <w:t>This process is not capable; it is too variable to meet customer needs.</w:t>
      </w:r>
    </w:p>
    <w:p w:rsidR="003441EE" w:rsidRDefault="003441EE" w:rsidP="003441EE"/>
    <w:p w:rsidR="00D37F0F" w:rsidRPr="003441EE" w:rsidRDefault="00D37F0F" w:rsidP="003441EE">
      <w:bookmarkStart w:id="0" w:name="_GoBack"/>
      <w:bookmarkEnd w:id="0"/>
    </w:p>
    <w:sectPr w:rsidR="00D37F0F" w:rsidRPr="003441EE">
      <w:footerReference w:type="even" r:id="rId136"/>
      <w:footerReference w:type="default" r:id="rId137"/>
      <w:headerReference w:type="first" r:id="rId138"/>
      <w:pgSz w:w="12240" w:h="15840" w:code="1"/>
      <w:pgMar w:top="1152" w:right="1296" w:bottom="1152" w:left="1296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F0F" w:rsidRDefault="00D42545">
      <w:r>
        <w:separator/>
      </w:r>
    </w:p>
  </w:endnote>
  <w:endnote w:type="continuationSeparator" w:id="0">
    <w:p w:rsidR="00D37F0F" w:rsidRDefault="00D42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7F0F" w:rsidRDefault="00D425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D37F0F" w:rsidRDefault="00D37F0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489168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A6E62" w:rsidRDefault="008A6E6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41EE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D37F0F" w:rsidRDefault="008A6E62" w:rsidP="008A6E62">
    <w:pPr>
      <w:pStyle w:val="Footer"/>
      <w:tabs>
        <w:tab w:val="clear" w:pos="4320"/>
        <w:tab w:val="clear" w:pos="8640"/>
        <w:tab w:val="center" w:pos="4860"/>
        <w:tab w:val="right" w:pos="9540"/>
      </w:tabs>
      <w:rPr>
        <w:rFonts w:ascii="Book Antiqua" w:hAnsi="Book Antiqua"/>
      </w:rPr>
    </w:pPr>
    <w:r>
      <w:rPr>
        <w:rFonts w:ascii="Book Antiqua" w:hAnsi="Book Antiqua"/>
      </w:rPr>
      <w:t>Operations</w:t>
    </w:r>
    <w:r>
      <w:rPr>
        <w:rFonts w:ascii="Book Antiqua" w:hAnsi="Book Antiqua"/>
      </w:rPr>
      <w:tab/>
    </w:r>
    <w:r>
      <w:rPr>
        <w:rFonts w:ascii="Book Antiqua" w:hAnsi="Book Antiqua"/>
      </w:rPr>
      <w:tab/>
      <w:t>Prof. Juran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F0F" w:rsidRDefault="00D42545">
      <w:r>
        <w:separator/>
      </w:r>
    </w:p>
  </w:footnote>
  <w:footnote w:type="continuationSeparator" w:id="0">
    <w:p w:rsidR="00D37F0F" w:rsidRDefault="00D42545">
      <w:r>
        <w:continuationSeparator/>
      </w:r>
    </w:p>
  </w:footnote>
  <w:footnote w:id="1">
    <w:p w:rsidR="003441EE" w:rsidRDefault="003441EE" w:rsidP="003441EE">
      <w:pPr>
        <w:pStyle w:val="FootnoteText"/>
        <w:rPr>
          <w:rFonts w:ascii="Book Antiqua" w:hAnsi="Book Antiqua"/>
        </w:rPr>
      </w:pPr>
      <w:r>
        <w:rPr>
          <w:rStyle w:val="FootnoteReference"/>
          <w:rFonts w:ascii="Book Antiqua" w:hAnsi="Book Antiqua"/>
        </w:rPr>
        <w:footnoteRef/>
      </w:r>
      <w:r>
        <w:rPr>
          <w:rFonts w:ascii="Book Antiqua" w:hAnsi="Book Antiqua"/>
        </w:rPr>
        <w:t xml:space="preserve"> Table S6.1 from Heizer and Render, p. 204 (Factors for Computing 3 Sigma Control Chart Limits)</w:t>
      </w:r>
    </w:p>
    <w:p w:rsidR="003441EE" w:rsidRDefault="003441EE" w:rsidP="003441EE">
      <w:pPr>
        <w:pStyle w:val="FootnoteText"/>
        <w:rPr>
          <w:rFonts w:ascii="Book Antiqua" w:hAnsi="Book Antiqua"/>
        </w:rPr>
      </w:pPr>
      <w:r>
        <w:rPr>
          <w:rFonts w:ascii="Book Antiqua" w:hAnsi="Book Antiqua"/>
        </w:rPr>
        <w:t>Similar to Exhibit TN7.7, p. 310, in Chase, Jacobs, Aquilano.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7F0F" w:rsidRDefault="00D42545">
    <w:pPr>
      <w:pStyle w:val="Header"/>
      <w:jc w:val="center"/>
    </w:pPr>
    <w:r>
      <w:rPr>
        <w:noProof/>
      </w:rPr>
      <w:drawing>
        <wp:inline distT="0" distB="0" distL="0" distR="0">
          <wp:extent cx="6122670" cy="1404620"/>
          <wp:effectExtent l="0" t="0" r="0" b="5080"/>
          <wp:docPr id="1" name="Picture 1" descr="e2314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2314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2670" cy="1404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160699"/>
    <w:multiLevelType w:val="hybridMultilevel"/>
    <w:tmpl w:val="BC7C61AE"/>
    <w:lvl w:ilvl="0" w:tplc="3E7A25F4">
      <w:start w:val="1"/>
      <w:numFmt w:val="decimal"/>
      <w:lvlText w:val="%1."/>
      <w:lvlJc w:val="left"/>
      <w:pPr>
        <w:tabs>
          <w:tab w:val="num" w:pos="768"/>
        </w:tabs>
        <w:ind w:left="768" w:hanging="360"/>
      </w:pPr>
      <w:rPr>
        <w:rFonts w:ascii="Times New Roman" w:hAnsi="Times New Roman" w:hint="default"/>
        <w:color w:val="000000"/>
      </w:rPr>
    </w:lvl>
    <w:lvl w:ilvl="1" w:tplc="8D429E28">
      <w:start w:val="1"/>
      <w:numFmt w:val="upperLetter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65241C4"/>
    <w:multiLevelType w:val="hybridMultilevel"/>
    <w:tmpl w:val="A59A9AE4"/>
    <w:lvl w:ilvl="0" w:tplc="22ACA7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2AC6D0C">
      <w:start w:val="1"/>
      <w:numFmt w:val="lowerLetter"/>
      <w:lvlText w:val="%2."/>
      <w:lvlJc w:val="left"/>
      <w:pPr>
        <w:tabs>
          <w:tab w:val="num" w:pos="1830"/>
        </w:tabs>
        <w:ind w:left="1830" w:hanging="7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D867044"/>
    <w:multiLevelType w:val="hybridMultilevel"/>
    <w:tmpl w:val="01462A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74B472A"/>
    <w:multiLevelType w:val="hybridMultilevel"/>
    <w:tmpl w:val="A19C4BEA"/>
    <w:lvl w:ilvl="0" w:tplc="04090019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32451E8"/>
    <w:multiLevelType w:val="hybridMultilevel"/>
    <w:tmpl w:val="EFD0B372"/>
    <w:lvl w:ilvl="0" w:tplc="04090019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EEB46B2"/>
    <w:multiLevelType w:val="hybridMultilevel"/>
    <w:tmpl w:val="9EAA84BC"/>
    <w:lvl w:ilvl="0" w:tplc="04090019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F692673"/>
    <w:multiLevelType w:val="hybridMultilevel"/>
    <w:tmpl w:val="871A5124"/>
    <w:lvl w:ilvl="0" w:tplc="F55EB4B0">
      <w:start w:val="1"/>
      <w:numFmt w:val="lowerLetter"/>
      <w:lvlText w:val="%1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545"/>
    <w:rsid w:val="003441EE"/>
    <w:rsid w:val="008A6E62"/>
    <w:rsid w:val="00D37F0F"/>
    <w:rsid w:val="00D42545"/>
    <w:rsid w:val="00F04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/>
    <o:shapelayout v:ext="edit">
      <o:idmap v:ext="edit" data="1"/>
    </o:shapelayout>
  </w:shapeDefaults>
  <w:decimalSymbol w:val="."/>
  <w:listSeparator w:val=","/>
  <w15:chartTrackingRefBased/>
  <w15:docId w15:val="{A55E3A91-A09B-432F-89BD-563F7C0DB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customStyle="1" w:styleId="p13">
    <w:name w:val="p13"/>
    <w:basedOn w:val="Normal"/>
    <w:pPr>
      <w:widowControl w:val="0"/>
      <w:spacing w:line="340" w:lineRule="atLeast"/>
    </w:pPr>
    <w:rPr>
      <w:snapToGrid w:val="0"/>
      <w:sz w:val="24"/>
    </w:rPr>
  </w:style>
  <w:style w:type="paragraph" w:styleId="FootnoteText">
    <w:name w:val="footnote text"/>
    <w:basedOn w:val="Normal"/>
    <w:link w:val="FootnoteTextChar"/>
    <w:semiHidden/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character" w:customStyle="1" w:styleId="FooterChar">
    <w:name w:val="Footer Char"/>
    <w:basedOn w:val="DefaultParagraphFont"/>
    <w:link w:val="Footer"/>
    <w:uiPriority w:val="99"/>
    <w:rsid w:val="008A6E62"/>
  </w:style>
  <w:style w:type="paragraph" w:customStyle="1" w:styleId="p2">
    <w:name w:val="p2"/>
    <w:basedOn w:val="Normal"/>
    <w:rsid w:val="00F04013"/>
    <w:pPr>
      <w:widowControl w:val="0"/>
      <w:spacing w:line="240" w:lineRule="atLeast"/>
      <w:ind w:left="620"/>
    </w:pPr>
    <w:rPr>
      <w:snapToGrid w:val="0"/>
      <w:sz w:val="24"/>
    </w:rPr>
  </w:style>
  <w:style w:type="paragraph" w:customStyle="1" w:styleId="p8">
    <w:name w:val="p8"/>
    <w:basedOn w:val="Normal"/>
    <w:rsid w:val="00F04013"/>
    <w:pPr>
      <w:widowControl w:val="0"/>
      <w:tabs>
        <w:tab w:val="left" w:pos="720"/>
      </w:tabs>
      <w:spacing w:line="240" w:lineRule="atLeast"/>
    </w:pPr>
    <w:rPr>
      <w:snapToGrid w:val="0"/>
      <w:sz w:val="24"/>
    </w:rPr>
  </w:style>
  <w:style w:type="paragraph" w:customStyle="1" w:styleId="t33">
    <w:name w:val="t33"/>
    <w:basedOn w:val="Normal"/>
    <w:rsid w:val="00F04013"/>
    <w:pPr>
      <w:widowControl w:val="0"/>
      <w:autoSpaceDE w:val="0"/>
      <w:autoSpaceDN w:val="0"/>
      <w:adjustRightInd w:val="0"/>
      <w:spacing w:line="260" w:lineRule="atLeast"/>
    </w:pPr>
    <w:rPr>
      <w:szCs w:val="24"/>
    </w:rPr>
  </w:style>
  <w:style w:type="character" w:customStyle="1" w:styleId="HeaderChar">
    <w:name w:val="Header Char"/>
    <w:basedOn w:val="DefaultParagraphFont"/>
    <w:link w:val="Header"/>
    <w:semiHidden/>
    <w:rsid w:val="003441EE"/>
  </w:style>
  <w:style w:type="character" w:customStyle="1" w:styleId="FootnoteTextChar">
    <w:name w:val="Footnote Text Char"/>
    <w:basedOn w:val="DefaultParagraphFont"/>
    <w:link w:val="FootnoteText"/>
    <w:semiHidden/>
    <w:rsid w:val="003441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oleObject" Target="embeddings/oleObject61.bin"/><Relationship Id="rId21" Type="http://schemas.openxmlformats.org/officeDocument/2006/relationships/image" Target="media/image8.wmf"/><Relationship Id="rId42" Type="http://schemas.openxmlformats.org/officeDocument/2006/relationships/image" Target="media/image18.wmf"/><Relationship Id="rId47" Type="http://schemas.openxmlformats.org/officeDocument/2006/relationships/image" Target="media/image20.wmf"/><Relationship Id="rId63" Type="http://schemas.openxmlformats.org/officeDocument/2006/relationships/oleObject" Target="embeddings/oleObject31.bin"/><Relationship Id="rId68" Type="http://schemas.openxmlformats.org/officeDocument/2006/relationships/image" Target="media/image29.wmf"/><Relationship Id="rId84" Type="http://schemas.openxmlformats.org/officeDocument/2006/relationships/oleObject" Target="embeddings/oleObject44.bin"/><Relationship Id="rId89" Type="http://schemas.openxmlformats.org/officeDocument/2006/relationships/image" Target="media/image38.wmf"/><Relationship Id="rId112" Type="http://schemas.openxmlformats.org/officeDocument/2006/relationships/image" Target="media/image48.wmf"/><Relationship Id="rId133" Type="http://schemas.openxmlformats.org/officeDocument/2006/relationships/oleObject" Target="embeddings/oleObject70.bin"/><Relationship Id="rId138" Type="http://schemas.openxmlformats.org/officeDocument/2006/relationships/header" Target="header1.xml"/><Relationship Id="rId16" Type="http://schemas.openxmlformats.org/officeDocument/2006/relationships/oleObject" Target="embeddings/oleObject5.bin"/><Relationship Id="rId107" Type="http://schemas.openxmlformats.org/officeDocument/2006/relationships/image" Target="media/image46.wmf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6.bin"/><Relationship Id="rId58" Type="http://schemas.openxmlformats.org/officeDocument/2006/relationships/image" Target="media/image23.wmf"/><Relationship Id="rId74" Type="http://schemas.openxmlformats.org/officeDocument/2006/relationships/oleObject" Target="embeddings/oleObject37.bin"/><Relationship Id="rId79" Type="http://schemas.openxmlformats.org/officeDocument/2006/relationships/oleObject" Target="embeddings/oleObject41.bin"/><Relationship Id="rId102" Type="http://schemas.openxmlformats.org/officeDocument/2006/relationships/oleObject" Target="embeddings/oleObject53.bin"/><Relationship Id="rId123" Type="http://schemas.openxmlformats.org/officeDocument/2006/relationships/oleObject" Target="embeddings/oleObject64.bin"/><Relationship Id="rId128" Type="http://schemas.openxmlformats.org/officeDocument/2006/relationships/oleObject" Target="embeddings/oleObject67.bin"/><Relationship Id="rId5" Type="http://schemas.openxmlformats.org/officeDocument/2006/relationships/footnotes" Target="footnotes.xml"/><Relationship Id="rId90" Type="http://schemas.openxmlformats.org/officeDocument/2006/relationships/oleObject" Target="embeddings/oleObject46.bin"/><Relationship Id="rId95" Type="http://schemas.openxmlformats.org/officeDocument/2006/relationships/oleObject" Target="embeddings/oleObject49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oleObject" Target="embeddings/oleObject19.bin"/><Relationship Id="rId48" Type="http://schemas.openxmlformats.org/officeDocument/2006/relationships/oleObject" Target="embeddings/oleObject22.bin"/><Relationship Id="rId64" Type="http://schemas.openxmlformats.org/officeDocument/2006/relationships/image" Target="media/image27.wmf"/><Relationship Id="rId69" Type="http://schemas.openxmlformats.org/officeDocument/2006/relationships/oleObject" Target="embeddings/oleObject34.bin"/><Relationship Id="rId113" Type="http://schemas.openxmlformats.org/officeDocument/2006/relationships/oleObject" Target="embeddings/oleObject59.bin"/><Relationship Id="rId118" Type="http://schemas.openxmlformats.org/officeDocument/2006/relationships/image" Target="media/image51.wmf"/><Relationship Id="rId134" Type="http://schemas.openxmlformats.org/officeDocument/2006/relationships/image" Target="media/image58.wmf"/><Relationship Id="rId139" Type="http://schemas.openxmlformats.org/officeDocument/2006/relationships/fontTable" Target="fontTable.xml"/><Relationship Id="rId8" Type="http://schemas.openxmlformats.org/officeDocument/2006/relationships/oleObject" Target="embeddings/oleObject1.bin"/><Relationship Id="rId51" Type="http://schemas.openxmlformats.org/officeDocument/2006/relationships/image" Target="media/image21.wmf"/><Relationship Id="rId72" Type="http://schemas.openxmlformats.org/officeDocument/2006/relationships/image" Target="media/image31.wmf"/><Relationship Id="rId80" Type="http://schemas.openxmlformats.org/officeDocument/2006/relationships/oleObject" Target="embeddings/oleObject42.bin"/><Relationship Id="rId85" Type="http://schemas.openxmlformats.org/officeDocument/2006/relationships/image" Target="media/image35.wmf"/><Relationship Id="rId93" Type="http://schemas.openxmlformats.org/officeDocument/2006/relationships/image" Target="media/image40.wmf"/><Relationship Id="rId98" Type="http://schemas.openxmlformats.org/officeDocument/2006/relationships/image" Target="media/image42.wmf"/><Relationship Id="rId121" Type="http://schemas.openxmlformats.org/officeDocument/2006/relationships/oleObject" Target="embeddings/oleObject63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image" Target="media/image16.wmf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30.bin"/><Relationship Id="rId67" Type="http://schemas.openxmlformats.org/officeDocument/2006/relationships/oleObject" Target="embeddings/oleObject33.bin"/><Relationship Id="rId103" Type="http://schemas.openxmlformats.org/officeDocument/2006/relationships/image" Target="media/image44.wmf"/><Relationship Id="rId108" Type="http://schemas.openxmlformats.org/officeDocument/2006/relationships/oleObject" Target="embeddings/oleObject56.bin"/><Relationship Id="rId116" Type="http://schemas.openxmlformats.org/officeDocument/2006/relationships/image" Target="media/image50.wmf"/><Relationship Id="rId124" Type="http://schemas.openxmlformats.org/officeDocument/2006/relationships/image" Target="media/image54.wmf"/><Relationship Id="rId129" Type="http://schemas.openxmlformats.org/officeDocument/2006/relationships/oleObject" Target="embeddings/oleObject68.bin"/><Relationship Id="rId137" Type="http://schemas.openxmlformats.org/officeDocument/2006/relationships/footer" Target="footer2.xml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7.bin"/><Relationship Id="rId62" Type="http://schemas.openxmlformats.org/officeDocument/2006/relationships/image" Target="media/image26.wmf"/><Relationship Id="rId70" Type="http://schemas.openxmlformats.org/officeDocument/2006/relationships/image" Target="media/image30.wmf"/><Relationship Id="rId75" Type="http://schemas.openxmlformats.org/officeDocument/2006/relationships/oleObject" Target="embeddings/oleObject38.bin"/><Relationship Id="rId83" Type="http://schemas.openxmlformats.org/officeDocument/2006/relationships/image" Target="media/image34.wmf"/><Relationship Id="rId88" Type="http://schemas.openxmlformats.org/officeDocument/2006/relationships/oleObject" Target="embeddings/oleObject45.bin"/><Relationship Id="rId91" Type="http://schemas.openxmlformats.org/officeDocument/2006/relationships/image" Target="media/image39.wmf"/><Relationship Id="rId96" Type="http://schemas.openxmlformats.org/officeDocument/2006/relationships/image" Target="media/image41.wmf"/><Relationship Id="rId111" Type="http://schemas.openxmlformats.org/officeDocument/2006/relationships/oleObject" Target="embeddings/oleObject58.bin"/><Relationship Id="rId132" Type="http://schemas.openxmlformats.org/officeDocument/2006/relationships/image" Target="media/image57.wmf"/><Relationship Id="rId14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9.bin"/><Relationship Id="rId106" Type="http://schemas.openxmlformats.org/officeDocument/2006/relationships/oleObject" Target="embeddings/oleObject55.bin"/><Relationship Id="rId114" Type="http://schemas.openxmlformats.org/officeDocument/2006/relationships/image" Target="media/image49.wmf"/><Relationship Id="rId119" Type="http://schemas.openxmlformats.org/officeDocument/2006/relationships/oleObject" Target="embeddings/oleObject62.bin"/><Relationship Id="rId127" Type="http://schemas.openxmlformats.org/officeDocument/2006/relationships/oleObject" Target="embeddings/oleObject66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5.bin"/><Relationship Id="rId60" Type="http://schemas.openxmlformats.org/officeDocument/2006/relationships/image" Target="media/image24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oleObject" Target="embeddings/oleObject40.bin"/><Relationship Id="rId81" Type="http://schemas.openxmlformats.org/officeDocument/2006/relationships/image" Target="media/image33.wmf"/><Relationship Id="rId86" Type="http://schemas.openxmlformats.org/officeDocument/2006/relationships/image" Target="media/image36.wmf"/><Relationship Id="rId94" Type="http://schemas.openxmlformats.org/officeDocument/2006/relationships/oleObject" Target="embeddings/oleObject48.bin"/><Relationship Id="rId99" Type="http://schemas.openxmlformats.org/officeDocument/2006/relationships/oleObject" Target="embeddings/oleObject51.bin"/><Relationship Id="rId101" Type="http://schemas.openxmlformats.org/officeDocument/2006/relationships/oleObject" Target="embeddings/oleObject52.bin"/><Relationship Id="rId122" Type="http://schemas.openxmlformats.org/officeDocument/2006/relationships/image" Target="media/image53.wmf"/><Relationship Id="rId130" Type="http://schemas.openxmlformats.org/officeDocument/2006/relationships/image" Target="media/image56.wmf"/><Relationship Id="rId135" Type="http://schemas.openxmlformats.org/officeDocument/2006/relationships/oleObject" Target="embeddings/oleObject71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7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4.bin"/><Relationship Id="rId55" Type="http://schemas.openxmlformats.org/officeDocument/2006/relationships/oleObject" Target="embeddings/oleObject28.bin"/><Relationship Id="rId76" Type="http://schemas.openxmlformats.org/officeDocument/2006/relationships/image" Target="media/image32.wmf"/><Relationship Id="rId97" Type="http://schemas.openxmlformats.org/officeDocument/2006/relationships/oleObject" Target="embeddings/oleObject50.bin"/><Relationship Id="rId104" Type="http://schemas.openxmlformats.org/officeDocument/2006/relationships/oleObject" Target="embeddings/oleObject54.bin"/><Relationship Id="rId120" Type="http://schemas.openxmlformats.org/officeDocument/2006/relationships/image" Target="media/image52.wmf"/><Relationship Id="rId125" Type="http://schemas.openxmlformats.org/officeDocument/2006/relationships/oleObject" Target="embeddings/oleObject65.bin"/><Relationship Id="rId7" Type="http://schemas.openxmlformats.org/officeDocument/2006/relationships/image" Target="media/image1.wmf"/><Relationship Id="rId71" Type="http://schemas.openxmlformats.org/officeDocument/2006/relationships/oleObject" Target="embeddings/oleObject35.bin"/><Relationship Id="rId92" Type="http://schemas.openxmlformats.org/officeDocument/2006/relationships/oleObject" Target="embeddings/oleObject47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image" Target="media/image17.wmf"/><Relationship Id="rId45" Type="http://schemas.openxmlformats.org/officeDocument/2006/relationships/image" Target="media/image19.wmf"/><Relationship Id="rId66" Type="http://schemas.openxmlformats.org/officeDocument/2006/relationships/image" Target="media/image28.wmf"/><Relationship Id="rId87" Type="http://schemas.openxmlformats.org/officeDocument/2006/relationships/image" Target="media/image37.wmf"/><Relationship Id="rId110" Type="http://schemas.openxmlformats.org/officeDocument/2006/relationships/image" Target="media/image47.wmf"/><Relationship Id="rId115" Type="http://schemas.openxmlformats.org/officeDocument/2006/relationships/oleObject" Target="embeddings/oleObject60.bin"/><Relationship Id="rId131" Type="http://schemas.openxmlformats.org/officeDocument/2006/relationships/oleObject" Target="embeddings/oleObject69.bin"/><Relationship Id="rId136" Type="http://schemas.openxmlformats.org/officeDocument/2006/relationships/footer" Target="footer1.xml"/><Relationship Id="rId61" Type="http://schemas.openxmlformats.org/officeDocument/2006/relationships/image" Target="media/image25.wmf"/><Relationship Id="rId82" Type="http://schemas.openxmlformats.org/officeDocument/2006/relationships/oleObject" Target="embeddings/oleObject43.bin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image" Target="media/image22.wmf"/><Relationship Id="rId77" Type="http://schemas.openxmlformats.org/officeDocument/2006/relationships/oleObject" Target="embeddings/oleObject39.bin"/><Relationship Id="rId100" Type="http://schemas.openxmlformats.org/officeDocument/2006/relationships/image" Target="media/image43.wmf"/><Relationship Id="rId105" Type="http://schemas.openxmlformats.org/officeDocument/2006/relationships/image" Target="media/image45.wmf"/><Relationship Id="rId126" Type="http://schemas.openxmlformats.org/officeDocument/2006/relationships/image" Target="media/image55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1099</Words>
  <Characters>6738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Micron Electronics, Inc.</Company>
  <LinksUpToDate>false</LinksUpToDate>
  <CharactersWithSpaces>7822</CharactersWithSpaces>
  <SharedDoc>false</SharedDoc>
  <HLinks>
    <vt:vector size="6" baseType="variant">
      <vt:variant>
        <vt:i4>524301</vt:i4>
      </vt:variant>
      <vt:variant>
        <vt:i4>3592</vt:i4>
      </vt:variant>
      <vt:variant>
        <vt:i4>1025</vt:i4>
      </vt:variant>
      <vt:variant>
        <vt:i4>1</vt:i4>
      </vt:variant>
      <vt:variant>
        <vt:lpwstr>e2314logo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David Juran</dc:creator>
  <cp:keywords/>
  <cp:lastModifiedBy>admin</cp:lastModifiedBy>
  <cp:revision>2</cp:revision>
  <cp:lastPrinted>2000-03-06T13:49:00Z</cp:lastPrinted>
  <dcterms:created xsi:type="dcterms:W3CDTF">2014-01-24T18:19:00Z</dcterms:created>
  <dcterms:modified xsi:type="dcterms:W3CDTF">2014-01-24T18:19:00Z</dcterms:modified>
</cp:coreProperties>
</file>